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5D9" w:rsidRPr="00650589" w:rsidRDefault="00D76639" w:rsidP="004A5EBE">
      <w:pPr>
        <w:pStyle w:val="Listenabsatz"/>
        <w:numPr>
          <w:ilvl w:val="0"/>
          <w:numId w:val="28"/>
        </w:numPr>
        <w:ind w:left="709" w:hanging="709"/>
        <w:rPr>
          <w:b/>
        </w:rPr>
      </w:pPr>
      <w:r w:rsidRPr="00650589">
        <w:rPr>
          <w:b/>
        </w:rPr>
        <w:t>Bestätigung des Eingangs des Auftrags und des Empfangs der Akten</w:t>
      </w:r>
    </w:p>
    <w:p w:rsidR="00006339" w:rsidRPr="00650589" w:rsidRDefault="00006339" w:rsidP="00006339">
      <w:pPr>
        <w:rPr>
          <w:b/>
        </w:rPr>
      </w:pPr>
    </w:p>
    <w:p w:rsidR="007C5ED9" w:rsidRPr="00650589" w:rsidRDefault="00006339" w:rsidP="00006339">
      <w:pPr>
        <w:pStyle w:val="Listenabsatz"/>
        <w:numPr>
          <w:ilvl w:val="0"/>
          <w:numId w:val="29"/>
        </w:numPr>
      </w:pPr>
      <w:r w:rsidRPr="00650589">
        <w:t>Prüfen der Akten und Beiakten auf Vollständigkeit</w:t>
      </w:r>
      <w:r w:rsidRPr="00650589">
        <w:tab/>
      </w:r>
      <w:r w:rsidR="00561217" w:rsidRPr="00650589">
        <w:t xml:space="preserve">im Hinblick auf die für </w:t>
      </w:r>
    </w:p>
    <w:p w:rsidR="00D20BE0" w:rsidRDefault="00561217" w:rsidP="007C5ED9">
      <w:pPr>
        <w:pStyle w:val="Listenabsatz"/>
      </w:pPr>
      <w:r w:rsidRPr="00650589">
        <w:t xml:space="preserve">Begutachtung erforderlichen Unterlagen </w:t>
      </w:r>
      <w:r w:rsidR="00096BE9" w:rsidRPr="00650589">
        <w:t>(§ 407a ZPO)</w:t>
      </w:r>
      <w:r w:rsidR="00D20BE0">
        <w:t>. Ggf. benötigte</w:t>
      </w:r>
    </w:p>
    <w:p w:rsidR="00006339" w:rsidRPr="00650589" w:rsidRDefault="00D20BE0" w:rsidP="007C5ED9">
      <w:pPr>
        <w:pStyle w:val="Listenabsatz"/>
      </w:pPr>
      <w:r>
        <w:t>Unterlagen vom Gericht anfordern.</w:t>
      </w:r>
      <w:r>
        <w:tab/>
      </w:r>
      <w:r>
        <w:tab/>
      </w:r>
      <w:r>
        <w:tab/>
      </w:r>
      <w:r w:rsidR="00FE2A94" w:rsidRPr="00650589">
        <w:tab/>
      </w:r>
      <w:r w:rsidR="00FE2A94" w:rsidRPr="00650589">
        <w:tab/>
      </w:r>
      <w:r w:rsidR="00006339" w:rsidRPr="00650589">
        <w:tab/>
      </w:r>
      <w:r w:rsidR="00006339" w:rsidRPr="00650589">
        <w:tab/>
      </w:r>
      <w:sdt>
        <w:sdtPr>
          <w:id w:val="1506318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857">
            <w:rPr>
              <w:rFonts w:ascii="MS Gothic" w:eastAsia="MS Gothic" w:hAnsi="MS Gothic" w:hint="eastAsia"/>
            </w:rPr>
            <w:t>☐</w:t>
          </w:r>
        </w:sdtContent>
      </w:sdt>
    </w:p>
    <w:p w:rsidR="006160F3" w:rsidRPr="00650589" w:rsidRDefault="006160F3" w:rsidP="006160F3">
      <w:pPr>
        <w:pStyle w:val="Listenabsatz"/>
      </w:pPr>
    </w:p>
    <w:p w:rsidR="00D20BE0" w:rsidRDefault="00006339" w:rsidP="00006339">
      <w:pPr>
        <w:pStyle w:val="Listenabsatz"/>
        <w:numPr>
          <w:ilvl w:val="0"/>
          <w:numId w:val="29"/>
        </w:numPr>
      </w:pPr>
      <w:r w:rsidRPr="00650589">
        <w:t>Fällt der Auftrag</w:t>
      </w:r>
      <w:r w:rsidR="0059524C" w:rsidRPr="00650589">
        <w:t xml:space="preserve"> ganz/teilweise</w:t>
      </w:r>
      <w:r w:rsidRPr="00650589">
        <w:t xml:space="preserve"> in das </w:t>
      </w:r>
      <w:r w:rsidR="0044043D">
        <w:t>F</w:t>
      </w:r>
      <w:r w:rsidR="00FB348D" w:rsidRPr="00650589">
        <w:t>ach</w:t>
      </w:r>
      <w:r w:rsidRPr="00650589">
        <w:t>gebiet?</w:t>
      </w:r>
      <w:r w:rsidRPr="00650589">
        <w:tab/>
      </w:r>
      <w:r w:rsidR="00D20BE0">
        <w:t xml:space="preserve">Wenn nicht </w:t>
      </w:r>
    </w:p>
    <w:p w:rsidR="00006339" w:rsidRPr="00650589" w:rsidRDefault="00D20BE0" w:rsidP="00D20BE0">
      <w:pPr>
        <w:pStyle w:val="Listenabsatz"/>
      </w:pPr>
      <w:r>
        <w:t>oder nicht völlig von Fachgebiet erfasst: Hinweis an das Gericht.</w:t>
      </w:r>
      <w:r w:rsidR="0044043D">
        <w:tab/>
      </w:r>
      <w:r w:rsidR="0044043D">
        <w:tab/>
      </w:r>
      <w:r w:rsidR="0044043D">
        <w:tab/>
      </w:r>
      <w:sdt>
        <w:sdtPr>
          <w:id w:val="-485010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857">
            <w:rPr>
              <w:rFonts w:ascii="MS Gothic" w:eastAsia="MS Gothic" w:hAnsi="MS Gothic" w:hint="eastAsia"/>
            </w:rPr>
            <w:t>☐</w:t>
          </w:r>
        </w:sdtContent>
      </w:sdt>
    </w:p>
    <w:p w:rsidR="00006339" w:rsidRPr="00650589" w:rsidRDefault="00006339" w:rsidP="00006339">
      <w:pPr>
        <w:pStyle w:val="Listenabsatz"/>
      </w:pPr>
    </w:p>
    <w:p w:rsidR="00027B9A" w:rsidRPr="00650589" w:rsidRDefault="00027B9A" w:rsidP="00027B9A">
      <w:pPr>
        <w:pStyle w:val="Listenabsatz"/>
        <w:numPr>
          <w:ilvl w:val="0"/>
          <w:numId w:val="29"/>
        </w:numPr>
      </w:pPr>
      <w:r w:rsidRPr="00650589">
        <w:t xml:space="preserve">Bestehen Unklarheiten oder Schwierigkeiten, insbesondere Zweifel an </w:t>
      </w:r>
    </w:p>
    <w:p w:rsidR="00027B9A" w:rsidRPr="00650589" w:rsidRDefault="00027B9A" w:rsidP="00027B9A">
      <w:pPr>
        <w:pStyle w:val="Listenabsatz"/>
      </w:pPr>
      <w:r w:rsidRPr="00650589">
        <w:t>Inhalt oder Umfang des Auftrags?</w:t>
      </w:r>
      <w:r w:rsidR="00D20BE0">
        <w:t xml:space="preserve"> Ggf. Klärung mit Gericht herbeiführen</w:t>
      </w:r>
      <w:r w:rsidR="003D6E43">
        <w:rPr>
          <w:rStyle w:val="Funotenzeichen"/>
        </w:rPr>
        <w:footnoteReference w:id="1"/>
      </w:r>
      <w:r w:rsidR="00D20BE0">
        <w:t>.</w:t>
      </w:r>
      <w:r w:rsidRPr="00650589">
        <w:tab/>
      </w:r>
      <w:sdt>
        <w:sdtPr>
          <w:id w:val="-7574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90A">
            <w:rPr>
              <w:rFonts w:ascii="MS Gothic" w:eastAsia="MS Gothic" w:hAnsi="MS Gothic" w:hint="eastAsia"/>
            </w:rPr>
            <w:t>☐</w:t>
          </w:r>
        </w:sdtContent>
      </w:sdt>
    </w:p>
    <w:p w:rsidR="00027B9A" w:rsidRPr="00650589" w:rsidRDefault="00027B9A" w:rsidP="00006339">
      <w:pPr>
        <w:pStyle w:val="Listenabsatz"/>
      </w:pPr>
    </w:p>
    <w:p w:rsidR="00622EEA" w:rsidRPr="00622EEA" w:rsidRDefault="0044043D" w:rsidP="0059524C">
      <w:pPr>
        <w:pStyle w:val="Listenabsatz"/>
        <w:numPr>
          <w:ilvl w:val="0"/>
          <w:numId w:val="29"/>
        </w:numPr>
      </w:pPr>
      <w:r>
        <w:t xml:space="preserve">Sind andere Sachverständige, z. B. für die Erhebung zusätzlicher – etwa bilddiagnostischer – Befunde </w:t>
      </w:r>
      <w:r w:rsidR="00006339" w:rsidRPr="00650589">
        <w:t>hinzuzuziehen?</w:t>
      </w:r>
      <w:r w:rsidR="00027B9A" w:rsidRPr="00650589">
        <w:t xml:space="preserve"> </w:t>
      </w:r>
      <w:r w:rsidR="00D20BE0">
        <w:t>Wenn ja,</w:t>
      </w:r>
      <w:r w:rsidR="00027B9A" w:rsidRPr="00650589">
        <w:t xml:space="preserve"> Hinweis an das Gericht</w:t>
      </w:r>
      <w:r w:rsidR="00D20BE0">
        <w:t>,</w:t>
      </w:r>
      <w:r>
        <w:tab/>
      </w:r>
      <w:sdt>
        <w:sdtPr>
          <w:rPr>
            <w:rFonts w:ascii="MS Gothic" w:eastAsia="MS Gothic" w:hAnsi="MS Gothic"/>
          </w:rPr>
          <w:id w:val="-58391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90A" w:rsidRPr="00622EEA">
            <w:rPr>
              <w:rFonts w:ascii="MS Gothic" w:eastAsia="MS Gothic" w:hAnsi="MS Gothic" w:hint="eastAsia"/>
            </w:rPr>
            <w:t>☐</w:t>
          </w:r>
        </w:sdtContent>
      </w:sdt>
    </w:p>
    <w:p w:rsidR="0059524C" w:rsidRDefault="00774BDF" w:rsidP="00622EEA">
      <w:pPr>
        <w:pStyle w:val="Listenabsatz"/>
      </w:pPr>
      <w:proofErr w:type="gramStart"/>
      <w:r>
        <w:t>g</w:t>
      </w:r>
      <w:r w:rsidR="00D20BE0">
        <w:t>gf</w:t>
      </w:r>
      <w:proofErr w:type="gramEnd"/>
      <w:r w:rsidR="00D20BE0">
        <w:t>. geeignete Sachverständige vorschlagen.</w:t>
      </w:r>
    </w:p>
    <w:p w:rsidR="00D20BE0" w:rsidRPr="00650589" w:rsidRDefault="00D20BE0" w:rsidP="0059524C">
      <w:pPr>
        <w:pStyle w:val="Listenabsatz"/>
      </w:pPr>
    </w:p>
    <w:p w:rsidR="00F440CB" w:rsidRPr="00650589" w:rsidRDefault="0059524C" w:rsidP="00006339">
      <w:pPr>
        <w:pStyle w:val="Listenabsatz"/>
        <w:numPr>
          <w:ilvl w:val="0"/>
          <w:numId w:val="29"/>
        </w:numPr>
      </w:pPr>
      <w:r w:rsidRPr="00650589">
        <w:t>Lieg</w:t>
      </w:r>
      <w:r w:rsidR="00363E9E" w:rsidRPr="00650589">
        <w:t>t ein Gutachtenverweigerungsrecht (§</w:t>
      </w:r>
      <w:r w:rsidR="001A5D48" w:rsidRPr="00650589">
        <w:t>§</w:t>
      </w:r>
      <w:r w:rsidR="00363E9E" w:rsidRPr="00650589">
        <w:t xml:space="preserve"> </w:t>
      </w:r>
      <w:r w:rsidR="00CD4678" w:rsidRPr="00650589">
        <w:t>408</w:t>
      </w:r>
      <w:r w:rsidR="00DA1AFD" w:rsidRPr="00650589">
        <w:t>, 383 f.</w:t>
      </w:r>
      <w:r w:rsidR="00363E9E" w:rsidRPr="00650589">
        <w:t xml:space="preserve"> ZPO)/</w:t>
      </w:r>
      <w:r w:rsidR="00905B61" w:rsidRPr="00650589">
        <w:t xml:space="preserve"> </w:t>
      </w:r>
      <w:r w:rsidR="00534B2F" w:rsidRPr="00650589">
        <w:br/>
      </w:r>
      <w:r w:rsidRPr="00650589">
        <w:t>Befangenheitsgr</w:t>
      </w:r>
      <w:r w:rsidR="00363E9E" w:rsidRPr="00650589">
        <w:t>u</w:t>
      </w:r>
      <w:r w:rsidRPr="00650589">
        <w:t xml:space="preserve">nd </w:t>
      </w:r>
      <w:r w:rsidR="001A5D48" w:rsidRPr="00650589">
        <w:t xml:space="preserve">(§§ 406, </w:t>
      </w:r>
      <w:r w:rsidR="007F6C58" w:rsidRPr="00650589">
        <w:t xml:space="preserve">42 </w:t>
      </w:r>
      <w:r w:rsidR="001A5D48" w:rsidRPr="00650589">
        <w:t xml:space="preserve">ZPO) </w:t>
      </w:r>
      <w:r w:rsidRPr="00650589">
        <w:t>vor?</w:t>
      </w:r>
      <w:r w:rsidR="00363E9E" w:rsidRPr="00650589">
        <w:t xml:space="preserve"> </w:t>
      </w:r>
      <w:r w:rsidRPr="00650589">
        <w:t>G</w:t>
      </w:r>
      <w:r w:rsidR="00CD4678" w:rsidRPr="00650589">
        <w:t>g</w:t>
      </w:r>
      <w:r w:rsidRPr="00650589">
        <w:t>f. Hinweis an</w:t>
      </w:r>
      <w:r w:rsidR="00455F75">
        <w:t xml:space="preserve"> das</w:t>
      </w:r>
      <w:r w:rsidRPr="00650589">
        <w:t xml:space="preserve"> Gericht</w:t>
      </w:r>
      <w:r w:rsidR="00F83097" w:rsidRPr="00650589">
        <w:t>.</w:t>
      </w:r>
      <w:r w:rsidR="00F440CB" w:rsidRPr="00650589">
        <w:tab/>
      </w:r>
      <w:sdt>
        <w:sdtPr>
          <w:id w:val="-43443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D11">
            <w:rPr>
              <w:rFonts w:ascii="MS Gothic" w:eastAsia="MS Gothic" w:hAnsi="MS Gothic" w:hint="eastAsia"/>
            </w:rPr>
            <w:t>☐</w:t>
          </w:r>
        </w:sdtContent>
      </w:sdt>
    </w:p>
    <w:p w:rsidR="00586F44" w:rsidRPr="00650589" w:rsidRDefault="00586F44" w:rsidP="00BB1B45">
      <w:pPr>
        <w:ind w:firstLine="709"/>
        <w:rPr>
          <w:b/>
        </w:rPr>
      </w:pPr>
    </w:p>
    <w:p w:rsidR="00586F44" w:rsidRPr="00650589" w:rsidRDefault="00586F44" w:rsidP="00BB1B45">
      <w:pPr>
        <w:ind w:firstLine="709"/>
        <w:rPr>
          <w:b/>
        </w:rPr>
      </w:pPr>
    </w:p>
    <w:p w:rsidR="00BB1B45" w:rsidRPr="00650589" w:rsidRDefault="004A5EBE" w:rsidP="004A5EBE">
      <w:pPr>
        <w:pStyle w:val="Listenabsatz"/>
        <w:numPr>
          <w:ilvl w:val="0"/>
          <w:numId w:val="28"/>
        </w:numPr>
        <w:ind w:left="709" w:hanging="709"/>
        <w:rPr>
          <w:b/>
        </w:rPr>
      </w:pPr>
      <w:r w:rsidRPr="00650589">
        <w:rPr>
          <w:b/>
        </w:rPr>
        <w:t>Weitergehende Rückmeldung zwei Wochen nach Zugang de</w:t>
      </w:r>
      <w:r w:rsidR="004748EC" w:rsidRPr="00650589">
        <w:rPr>
          <w:b/>
        </w:rPr>
        <w:t>r Gerichtsakten</w:t>
      </w:r>
    </w:p>
    <w:p w:rsidR="00BB1B45" w:rsidRPr="00650589" w:rsidRDefault="00BB1B45" w:rsidP="00BB1B45">
      <w:pPr>
        <w:rPr>
          <w:b/>
        </w:rPr>
      </w:pPr>
    </w:p>
    <w:p w:rsidR="00655715" w:rsidRPr="00650589" w:rsidRDefault="004A5EBE" w:rsidP="00655715">
      <w:pPr>
        <w:pStyle w:val="Listenabsatz"/>
        <w:numPr>
          <w:ilvl w:val="0"/>
          <w:numId w:val="39"/>
        </w:numPr>
      </w:pPr>
      <w:r w:rsidRPr="00650589">
        <w:t xml:space="preserve">Kann das Gutachten unter Berücksichtigung des Auftragsumfangs und der </w:t>
      </w:r>
    </w:p>
    <w:p w:rsidR="004A5EBE" w:rsidRPr="00650589" w:rsidRDefault="004A5EBE" w:rsidP="00655715">
      <w:pPr>
        <w:pStyle w:val="Listenabsatz"/>
      </w:pPr>
      <w:proofErr w:type="gramStart"/>
      <w:r w:rsidRPr="00650589">
        <w:t>sonstigen</w:t>
      </w:r>
      <w:proofErr w:type="gramEnd"/>
      <w:r w:rsidRPr="00650589">
        <w:t xml:space="preserve"> Auftragslage innerhalb der gesetzten Frist erstattet werden </w:t>
      </w:r>
    </w:p>
    <w:p w:rsidR="004A5EBE" w:rsidRPr="00650589" w:rsidRDefault="004A5EBE" w:rsidP="004A5EBE">
      <w:pPr>
        <w:ind w:firstLine="709"/>
      </w:pPr>
      <w:proofErr w:type="gramStart"/>
      <w:r w:rsidRPr="00650589">
        <w:t>oder</w:t>
      </w:r>
      <w:proofErr w:type="gramEnd"/>
      <w:r w:rsidRPr="00650589">
        <w:t xml:space="preserve"> bis wann kann eine Gutachtenerstattung verbindlich zugesagt </w:t>
      </w:r>
    </w:p>
    <w:p w:rsidR="00774BDF" w:rsidRDefault="004A5EBE" w:rsidP="004A5EBE">
      <w:pPr>
        <w:ind w:firstLine="709"/>
      </w:pPr>
      <w:proofErr w:type="gramStart"/>
      <w:r w:rsidRPr="00650589">
        <w:t>werden</w:t>
      </w:r>
      <w:proofErr w:type="gramEnd"/>
      <w:r w:rsidRPr="00650589">
        <w:t xml:space="preserve"> (§ 407a Abs. 1 ZPO)</w:t>
      </w:r>
      <w:r w:rsidR="00F9031D" w:rsidRPr="00650589">
        <w:t>?</w:t>
      </w:r>
      <w:r w:rsidR="00774BDF">
        <w:t xml:space="preserve"> Ggf. Gericht abweichende Erledigungsfrist</w:t>
      </w:r>
    </w:p>
    <w:p w:rsidR="004A5EBE" w:rsidRPr="00650589" w:rsidRDefault="00774BDF" w:rsidP="004A5EBE">
      <w:pPr>
        <w:ind w:firstLine="709"/>
        <w:rPr>
          <w:rFonts w:ascii="MS Gothic" w:eastAsia="MS Gothic" w:hAnsi="MS Gothic"/>
          <w:b/>
        </w:rPr>
      </w:pPr>
      <w:proofErr w:type="gramStart"/>
      <w:r>
        <w:t>vorschlagen</w:t>
      </w:r>
      <w:proofErr w:type="gramEnd"/>
      <w:r>
        <w:t>.</w:t>
      </w:r>
      <w:r>
        <w:tab/>
      </w:r>
      <w:r>
        <w:tab/>
      </w:r>
      <w:r>
        <w:tab/>
      </w:r>
      <w:r w:rsidR="004A5EBE" w:rsidRPr="00650589">
        <w:tab/>
      </w:r>
      <w:r w:rsidR="004A5EBE" w:rsidRPr="00650589">
        <w:tab/>
      </w:r>
      <w:r w:rsidR="004A5EBE" w:rsidRPr="00650589">
        <w:tab/>
      </w:r>
      <w:r w:rsidR="004A5EBE" w:rsidRPr="00650589">
        <w:tab/>
      </w:r>
      <w:r w:rsidR="004A5EBE" w:rsidRPr="00650589">
        <w:tab/>
      </w:r>
      <w:r w:rsidR="00655715" w:rsidRPr="00650589">
        <w:tab/>
      </w:r>
      <w:r w:rsidR="004A5EBE" w:rsidRPr="00650589">
        <w:tab/>
      </w:r>
      <w:sdt>
        <w:sdtPr>
          <w:id w:val="80404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FE3">
            <w:rPr>
              <w:rFonts w:ascii="MS Gothic" w:eastAsia="MS Gothic" w:hAnsi="MS Gothic" w:hint="eastAsia"/>
            </w:rPr>
            <w:t>☐</w:t>
          </w:r>
        </w:sdtContent>
      </w:sdt>
    </w:p>
    <w:p w:rsidR="004A5EBE" w:rsidRPr="00650589" w:rsidRDefault="004A5EBE" w:rsidP="004A5EBE">
      <w:pPr>
        <w:ind w:firstLine="709"/>
        <w:rPr>
          <w:rFonts w:ascii="MS Gothic" w:eastAsia="MS Gothic" w:hAnsi="MS Gothic"/>
          <w:b/>
        </w:rPr>
      </w:pPr>
    </w:p>
    <w:p w:rsidR="004A5EBE" w:rsidRPr="00650589" w:rsidRDefault="004A5EBE" w:rsidP="004A5EBE">
      <w:pPr>
        <w:pStyle w:val="Listenabsatz"/>
        <w:numPr>
          <w:ilvl w:val="0"/>
          <w:numId w:val="39"/>
        </w:numPr>
        <w:ind w:left="709" w:hanging="283"/>
      </w:pPr>
      <w:r w:rsidRPr="00650589">
        <w:t xml:space="preserve">Kann die Beweisfrage den Honorargruppen des JVEG zugeordnet werden? </w:t>
      </w:r>
      <w:r w:rsidRPr="00650589">
        <w:br/>
        <w:t>Wenn nein: Ggfls. Antrag auf gerichtliche Festsetzung des Stundensatzes</w:t>
      </w:r>
      <w:r w:rsidR="00F83097" w:rsidRPr="00650589">
        <w:t>.</w:t>
      </w:r>
      <w:r w:rsidRPr="00650589">
        <w:rPr>
          <w:rFonts w:eastAsia="MS Gothic"/>
        </w:rPr>
        <w:tab/>
      </w:r>
      <w:sdt>
        <w:sdtPr>
          <w:rPr>
            <w:rFonts w:eastAsia="MS Gothic"/>
          </w:rPr>
          <w:id w:val="209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D11">
            <w:rPr>
              <w:rFonts w:ascii="MS Gothic" w:eastAsia="MS Gothic" w:hAnsi="MS Gothic" w:hint="eastAsia"/>
            </w:rPr>
            <w:t>☐</w:t>
          </w:r>
        </w:sdtContent>
      </w:sdt>
      <w:r w:rsidRPr="00650589">
        <w:br/>
      </w:r>
    </w:p>
    <w:p w:rsidR="004A5EBE" w:rsidRPr="00650589" w:rsidRDefault="004A5EBE" w:rsidP="004A5EBE">
      <w:pPr>
        <w:pStyle w:val="Listenabsatz"/>
        <w:numPr>
          <w:ilvl w:val="0"/>
          <w:numId w:val="39"/>
        </w:numPr>
      </w:pPr>
      <w:r w:rsidRPr="00650589">
        <w:t>Ggfls. Antrag auf bes</w:t>
      </w:r>
      <w:r w:rsidR="00F83097" w:rsidRPr="00650589">
        <w:t>ondere Vergütung nach § 13 JVEG.</w:t>
      </w:r>
      <w:r w:rsidRPr="00650589">
        <w:tab/>
      </w:r>
      <w:r w:rsidRPr="00650589">
        <w:tab/>
      </w:r>
      <w:r w:rsidRPr="00650589">
        <w:tab/>
      </w:r>
      <w:r w:rsidRPr="00650589">
        <w:tab/>
      </w:r>
      <w:sdt>
        <w:sdtPr>
          <w:id w:val="-39705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D11">
            <w:rPr>
              <w:rFonts w:ascii="MS Gothic" w:eastAsia="MS Gothic" w:hAnsi="MS Gothic" w:hint="eastAsia"/>
            </w:rPr>
            <w:t>☐</w:t>
          </w:r>
        </w:sdtContent>
      </w:sdt>
    </w:p>
    <w:p w:rsidR="004A5EBE" w:rsidRPr="00650589" w:rsidRDefault="004A5EBE" w:rsidP="004A5EBE">
      <w:pPr>
        <w:pStyle w:val="Listenabsatz"/>
      </w:pPr>
    </w:p>
    <w:p w:rsidR="00E4139F" w:rsidRPr="00650589" w:rsidRDefault="004A5EBE">
      <w:pPr>
        <w:pStyle w:val="Listenabsatz"/>
        <w:numPr>
          <w:ilvl w:val="0"/>
          <w:numId w:val="39"/>
        </w:numPr>
        <w:ind w:left="709"/>
        <w:rPr>
          <w:rFonts w:eastAsia="MS Gothic"/>
        </w:rPr>
      </w:pPr>
      <w:r w:rsidRPr="00650589">
        <w:rPr>
          <w:rFonts w:eastAsia="MS Gothic"/>
        </w:rPr>
        <w:t>Werden die Kosten erkennbar außer Verhältnis zum Streitwert stehen</w:t>
      </w:r>
      <w:r w:rsidR="0076249E" w:rsidRPr="00650589">
        <w:rPr>
          <w:rFonts w:eastAsia="MS Gothic"/>
        </w:rPr>
        <w:t xml:space="preserve"> (mehr </w:t>
      </w:r>
    </w:p>
    <w:p w:rsidR="0006413A" w:rsidRPr="00650589" w:rsidRDefault="0076249E" w:rsidP="0006413A">
      <w:pPr>
        <w:ind w:firstLine="709"/>
        <w:rPr>
          <w:rFonts w:eastAsia="MS Gothic"/>
        </w:rPr>
      </w:pPr>
      <w:r w:rsidRPr="00650589">
        <w:rPr>
          <w:rFonts w:eastAsia="MS Gothic"/>
        </w:rPr>
        <w:t>als 55 % des Streitwertes)</w:t>
      </w:r>
      <w:r w:rsidR="004A5EBE" w:rsidRPr="00650589">
        <w:rPr>
          <w:rFonts w:eastAsia="MS Gothic"/>
        </w:rPr>
        <w:t xml:space="preserve"> oder</w:t>
      </w:r>
      <w:r w:rsidRPr="00650589">
        <w:rPr>
          <w:rFonts w:eastAsia="MS Gothic"/>
        </w:rPr>
        <w:t xml:space="preserve"> </w:t>
      </w:r>
      <w:r w:rsidR="004A5EBE" w:rsidRPr="00650589">
        <w:rPr>
          <w:rFonts w:eastAsia="MS Gothic"/>
        </w:rPr>
        <w:t xml:space="preserve">wird der Kostenvorschuss erheblich </w:t>
      </w:r>
    </w:p>
    <w:p w:rsidR="00774BDF" w:rsidRDefault="004A5EBE" w:rsidP="0006413A">
      <w:pPr>
        <w:ind w:firstLine="709"/>
        <w:rPr>
          <w:rFonts w:eastAsia="MS Gothic"/>
        </w:rPr>
      </w:pPr>
      <w:r w:rsidRPr="00650589">
        <w:rPr>
          <w:rFonts w:eastAsia="MS Gothic"/>
        </w:rPr>
        <w:t>(</w:t>
      </w:r>
      <w:r w:rsidR="00203E38" w:rsidRPr="00650589">
        <w:rPr>
          <w:rFonts w:eastAsia="MS Gothic"/>
        </w:rPr>
        <w:t xml:space="preserve">mindestens um 20 </w:t>
      </w:r>
      <w:r w:rsidRPr="00650589">
        <w:rPr>
          <w:rFonts w:eastAsia="MS Gothic"/>
        </w:rPr>
        <w:t>%) überstiegen</w:t>
      </w:r>
      <w:r w:rsidR="00F9031D" w:rsidRPr="00650589">
        <w:rPr>
          <w:rFonts w:eastAsia="MS Gothic"/>
        </w:rPr>
        <w:t xml:space="preserve"> </w:t>
      </w:r>
      <w:r w:rsidRPr="00650589">
        <w:rPr>
          <w:rFonts w:eastAsia="MS Gothic"/>
        </w:rPr>
        <w:t>(§ 407a Abs.</w:t>
      </w:r>
      <w:r w:rsidR="00CF0A19">
        <w:rPr>
          <w:rFonts w:eastAsia="MS Gothic"/>
        </w:rPr>
        <w:t>4</w:t>
      </w:r>
      <w:r w:rsidRPr="00650589">
        <w:rPr>
          <w:rFonts w:eastAsia="MS Gothic"/>
        </w:rPr>
        <w:t xml:space="preserve"> Satz 2 ZPO)</w:t>
      </w:r>
      <w:r w:rsidR="00F9031D" w:rsidRPr="00650589">
        <w:rPr>
          <w:rFonts w:eastAsia="MS Gothic"/>
        </w:rPr>
        <w:t>?</w:t>
      </w:r>
      <w:r w:rsidRPr="00650589">
        <w:rPr>
          <w:rFonts w:eastAsia="MS Gothic"/>
        </w:rPr>
        <w:tab/>
      </w:r>
    </w:p>
    <w:p w:rsidR="004A5EBE" w:rsidRPr="00650589" w:rsidRDefault="00774BDF" w:rsidP="0006413A">
      <w:pPr>
        <w:ind w:firstLine="709"/>
        <w:rPr>
          <w:rFonts w:eastAsia="MS Gothic"/>
        </w:rPr>
      </w:pPr>
      <w:r>
        <w:rPr>
          <w:rFonts w:eastAsia="MS Gothic"/>
        </w:rPr>
        <w:t>Ggf. Hinweis an das Gericht.</w:t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 w:rsidR="004A5EBE" w:rsidRPr="00650589">
        <w:rPr>
          <w:rFonts w:eastAsia="MS Gothic"/>
        </w:rPr>
        <w:tab/>
      </w:r>
      <w:r w:rsidR="004A5EBE" w:rsidRPr="00650589">
        <w:rPr>
          <w:rFonts w:eastAsia="MS Gothic"/>
        </w:rPr>
        <w:tab/>
      </w:r>
      <w:sdt>
        <w:sdtPr>
          <w:rPr>
            <w:rFonts w:eastAsia="MS Gothic"/>
          </w:rPr>
          <w:id w:val="-1896815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90A">
            <w:rPr>
              <w:rFonts w:ascii="MS Gothic" w:eastAsia="MS Gothic" w:hAnsi="MS Gothic" w:hint="eastAsia"/>
            </w:rPr>
            <w:t>☐</w:t>
          </w:r>
        </w:sdtContent>
      </w:sdt>
    </w:p>
    <w:p w:rsidR="004A5EBE" w:rsidRPr="00650589" w:rsidRDefault="004A5EBE" w:rsidP="004A5EBE">
      <w:pPr>
        <w:pStyle w:val="Listenabsatz"/>
        <w:rPr>
          <w:rFonts w:eastAsia="MS Gothic"/>
        </w:rPr>
      </w:pPr>
    </w:p>
    <w:p w:rsidR="00655715" w:rsidRPr="00650589" w:rsidRDefault="000302C0" w:rsidP="004A5EBE">
      <w:pPr>
        <w:pStyle w:val="Listenabsatz"/>
        <w:numPr>
          <w:ilvl w:val="0"/>
          <w:numId w:val="39"/>
        </w:numPr>
        <w:rPr>
          <w:b/>
        </w:rPr>
      </w:pPr>
      <w:r w:rsidRPr="00650589">
        <w:rPr>
          <w:rFonts w:eastAsia="MS Gothic"/>
        </w:rPr>
        <w:t xml:space="preserve">Mündliches Gutachten (gesetzlicher Regelfall nach </w:t>
      </w:r>
      <w:r w:rsidR="004A5EBE" w:rsidRPr="00650589">
        <w:rPr>
          <w:rFonts w:eastAsia="MS Gothic"/>
        </w:rPr>
        <w:t xml:space="preserve">ZPO) möglich </w:t>
      </w:r>
    </w:p>
    <w:p w:rsidR="004A5EBE" w:rsidRPr="00650589" w:rsidRDefault="004A5EBE" w:rsidP="00655715">
      <w:pPr>
        <w:pStyle w:val="Listenabsatz"/>
        <w:rPr>
          <w:b/>
        </w:rPr>
      </w:pPr>
      <w:r w:rsidRPr="00650589">
        <w:rPr>
          <w:rFonts w:eastAsia="MS Gothic"/>
        </w:rPr>
        <w:t>und zweckmäßig?</w:t>
      </w:r>
      <w:r w:rsidR="00774BDF">
        <w:rPr>
          <w:rFonts w:eastAsia="MS Gothic"/>
        </w:rPr>
        <w:t xml:space="preserve"> Ggf. entsprechende Anregung an das Gericht.</w:t>
      </w:r>
      <w:r w:rsidRPr="00650589">
        <w:rPr>
          <w:rFonts w:ascii="MS Gothic" w:eastAsia="MS Gothic" w:hAnsi="MS Gothic"/>
          <w:b/>
        </w:rPr>
        <w:tab/>
      </w:r>
      <w:r w:rsidRPr="00650589">
        <w:rPr>
          <w:rFonts w:ascii="MS Gothic" w:eastAsia="MS Gothic" w:hAnsi="MS Gothic"/>
          <w:b/>
        </w:rPr>
        <w:tab/>
      </w:r>
      <w:r w:rsidRPr="00650589">
        <w:rPr>
          <w:rFonts w:ascii="MS Gothic" w:eastAsia="MS Gothic" w:hAnsi="MS Gothic"/>
          <w:b/>
        </w:rPr>
        <w:tab/>
      </w:r>
      <w:sdt>
        <w:sdtPr>
          <w:rPr>
            <w:rFonts w:ascii="MS Gothic" w:eastAsia="MS Gothic" w:hAnsi="MS Gothic"/>
            <w:b/>
          </w:rPr>
          <w:id w:val="34938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FE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096BE9" w:rsidRPr="00650589" w:rsidRDefault="00096BE9" w:rsidP="00987573"/>
    <w:p w:rsidR="002C24E0" w:rsidRPr="00650589" w:rsidRDefault="002C24E0" w:rsidP="002C24E0">
      <w:pPr>
        <w:ind w:left="709"/>
        <w:rPr>
          <w:b/>
        </w:rPr>
      </w:pPr>
    </w:p>
    <w:p w:rsidR="00987573" w:rsidRPr="00650589" w:rsidRDefault="00961261" w:rsidP="008464F0">
      <w:pPr>
        <w:pStyle w:val="Listenabsatz"/>
        <w:numPr>
          <w:ilvl w:val="0"/>
          <w:numId w:val="28"/>
        </w:numPr>
        <w:ind w:left="709" w:hanging="709"/>
        <w:rPr>
          <w:b/>
        </w:rPr>
      </w:pPr>
      <w:r w:rsidRPr="00650589">
        <w:rPr>
          <w:b/>
        </w:rPr>
        <w:t>D</w:t>
      </w:r>
      <w:r w:rsidR="00586F44" w:rsidRPr="00650589">
        <w:rPr>
          <w:b/>
        </w:rPr>
        <w:t xml:space="preserve">ie medizinische </w:t>
      </w:r>
      <w:r w:rsidR="00B066EA" w:rsidRPr="006A2CE7">
        <w:rPr>
          <w:b/>
        </w:rPr>
        <w:t>bzw. psychodiagnostische</w:t>
      </w:r>
      <w:r w:rsidR="00B066EA">
        <w:rPr>
          <w:b/>
        </w:rPr>
        <w:t xml:space="preserve"> </w:t>
      </w:r>
      <w:r w:rsidR="00586F44" w:rsidRPr="00650589">
        <w:rPr>
          <w:b/>
        </w:rPr>
        <w:t>Untersuchung</w:t>
      </w:r>
    </w:p>
    <w:p w:rsidR="00987573" w:rsidRPr="00650589" w:rsidRDefault="00987573" w:rsidP="00987573"/>
    <w:p w:rsidR="00774BDF" w:rsidRDefault="00DF204D" w:rsidP="00AF29FA">
      <w:pPr>
        <w:pStyle w:val="Listenabsatz"/>
        <w:numPr>
          <w:ilvl w:val="0"/>
          <w:numId w:val="31"/>
        </w:numPr>
      </w:pPr>
      <w:r>
        <w:t xml:space="preserve">Rechtzeitige </w:t>
      </w:r>
      <w:r w:rsidR="00B066EA">
        <w:t xml:space="preserve">Einladung </w:t>
      </w:r>
      <w:r>
        <w:t>des</w:t>
      </w:r>
      <w:r w:rsidR="005E5F6D">
        <w:t>/der</w:t>
      </w:r>
      <w:r>
        <w:t xml:space="preserve"> zu Begutachtenden </w:t>
      </w:r>
    </w:p>
    <w:p w:rsidR="00DF204D" w:rsidRDefault="00DF204D" w:rsidP="00774BDF">
      <w:pPr>
        <w:pStyle w:val="Listenabsatz"/>
      </w:pPr>
      <w:r>
        <w:t>(i.d.R</w:t>
      </w:r>
      <w:r w:rsidR="00B066EA">
        <w:t>.</w:t>
      </w:r>
      <w:r>
        <w:t xml:space="preserve"> mindestens 14 Tage vorher)</w:t>
      </w:r>
      <w:r w:rsidR="001409B4">
        <w:t>.</w:t>
      </w:r>
      <w:r w:rsidR="00774BDF" w:rsidRPr="00774BDF">
        <w:rPr>
          <w:rFonts w:ascii="MS Gothic" w:eastAsia="MS Gothic" w:hAnsi="MS Gothic" w:hint="eastAsia"/>
          <w:b/>
        </w:rPr>
        <w:t xml:space="preserve"> </w:t>
      </w:r>
      <w:r w:rsidR="004D190A">
        <w:rPr>
          <w:rFonts w:ascii="MS Gothic" w:eastAsia="MS Gothic" w:hAnsi="MS Gothic"/>
          <w:b/>
        </w:rPr>
        <w:tab/>
      </w:r>
      <w:r w:rsidR="004D190A">
        <w:rPr>
          <w:rFonts w:ascii="MS Gothic" w:eastAsia="MS Gothic" w:hAnsi="MS Gothic"/>
          <w:b/>
        </w:rPr>
        <w:tab/>
      </w:r>
      <w:r w:rsidR="004D190A">
        <w:rPr>
          <w:rFonts w:ascii="MS Gothic" w:eastAsia="MS Gothic" w:hAnsi="MS Gothic"/>
          <w:b/>
        </w:rPr>
        <w:tab/>
      </w:r>
      <w:r w:rsidR="004D190A">
        <w:rPr>
          <w:rFonts w:ascii="MS Gothic" w:eastAsia="MS Gothic" w:hAnsi="MS Gothic"/>
          <w:b/>
        </w:rPr>
        <w:tab/>
      </w:r>
      <w:r w:rsidR="004D190A">
        <w:rPr>
          <w:rFonts w:ascii="MS Gothic" w:eastAsia="MS Gothic" w:hAnsi="MS Gothic"/>
          <w:b/>
        </w:rPr>
        <w:tab/>
      </w:r>
      <w:r w:rsidR="004D190A">
        <w:rPr>
          <w:rFonts w:ascii="MS Gothic" w:eastAsia="MS Gothic" w:hAnsi="MS Gothic"/>
          <w:b/>
        </w:rPr>
        <w:tab/>
      </w:r>
      <w:sdt>
        <w:sdtPr>
          <w:rPr>
            <w:rFonts w:ascii="MS Gothic" w:eastAsia="MS Gothic" w:hAnsi="MS Gothic"/>
            <w:b/>
          </w:rPr>
          <w:id w:val="25209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FE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1409B4" w:rsidRDefault="001409B4" w:rsidP="001409B4">
      <w:pPr>
        <w:pStyle w:val="Listenabsatz"/>
      </w:pPr>
    </w:p>
    <w:p w:rsidR="00AF29FA" w:rsidRPr="00650589" w:rsidRDefault="00FF67F4" w:rsidP="00AF29FA">
      <w:pPr>
        <w:pStyle w:val="Listenabsatz"/>
        <w:numPr>
          <w:ilvl w:val="0"/>
          <w:numId w:val="31"/>
        </w:numPr>
      </w:pPr>
      <w:r w:rsidRPr="00650589">
        <w:t>Über Untersuchung des</w:t>
      </w:r>
      <w:r w:rsidR="005E5F6D">
        <w:t>/der</w:t>
      </w:r>
      <w:r w:rsidRPr="00650589">
        <w:t xml:space="preserve"> zu Begutachtenden hinausgehende Sachverhalts</w:t>
      </w:r>
      <w:r w:rsidR="00AF29FA" w:rsidRPr="00650589">
        <w:t>-</w:t>
      </w:r>
    </w:p>
    <w:p w:rsidR="00AF29FA" w:rsidRPr="00650589" w:rsidRDefault="00FF67F4" w:rsidP="00AF29FA">
      <w:pPr>
        <w:pStyle w:val="Listenabsatz"/>
      </w:pPr>
      <w:proofErr w:type="spellStart"/>
      <w:proofErr w:type="gramStart"/>
      <w:r w:rsidRPr="00650589">
        <w:t>ermittlung</w:t>
      </w:r>
      <w:proofErr w:type="spellEnd"/>
      <w:proofErr w:type="gramEnd"/>
      <w:r w:rsidRPr="00650589">
        <w:t xml:space="preserve"> nur, falls</w:t>
      </w:r>
      <w:r w:rsidR="00CC4AC7" w:rsidRPr="00650589">
        <w:t xml:space="preserve"> vom Gericht (typischerweise im Beweisbeschluss) </w:t>
      </w:r>
    </w:p>
    <w:p w:rsidR="00AF29FA" w:rsidRPr="00650589" w:rsidRDefault="00CC4AC7" w:rsidP="00AF29FA">
      <w:pPr>
        <w:pStyle w:val="Listenabsatz"/>
      </w:pPr>
      <w:proofErr w:type="gramStart"/>
      <w:r w:rsidRPr="00650589">
        <w:lastRenderedPageBreak/>
        <w:t>ausdrücklich</w:t>
      </w:r>
      <w:proofErr w:type="gramEnd"/>
      <w:r w:rsidRPr="00650589">
        <w:t xml:space="preserve"> erlaubt. Andernfalls Anforderung der benötigten Informationen </w:t>
      </w:r>
    </w:p>
    <w:p w:rsidR="00FF67F4" w:rsidRPr="00650589" w:rsidRDefault="00CC4AC7" w:rsidP="00AF29FA">
      <w:pPr>
        <w:pStyle w:val="Listenabsatz"/>
      </w:pPr>
      <w:r w:rsidRPr="00650589">
        <w:t>über das Gericht.</w:t>
      </w:r>
      <w:r w:rsidR="00AF29FA" w:rsidRPr="00650589">
        <w:rPr>
          <w:rFonts w:ascii="MS Gothic" w:eastAsia="MS Gothic" w:hAnsi="MS Gothic" w:hint="eastAsia"/>
          <w:b/>
        </w:rPr>
        <w:t xml:space="preserve"> </w:t>
      </w:r>
      <w:r w:rsidR="00AF29FA" w:rsidRPr="00650589">
        <w:rPr>
          <w:rFonts w:ascii="MS Gothic" w:eastAsia="MS Gothic" w:hAnsi="MS Gothic"/>
          <w:b/>
        </w:rPr>
        <w:tab/>
      </w:r>
      <w:r w:rsidR="00AF29FA" w:rsidRPr="00650589">
        <w:rPr>
          <w:rFonts w:ascii="MS Gothic" w:eastAsia="MS Gothic" w:hAnsi="MS Gothic"/>
          <w:b/>
        </w:rPr>
        <w:tab/>
      </w:r>
      <w:r w:rsidR="00AF29FA" w:rsidRPr="00650589">
        <w:rPr>
          <w:rFonts w:ascii="MS Gothic" w:eastAsia="MS Gothic" w:hAnsi="MS Gothic"/>
          <w:b/>
        </w:rPr>
        <w:tab/>
      </w:r>
      <w:r w:rsidR="00AF29FA" w:rsidRPr="00650589">
        <w:rPr>
          <w:rFonts w:ascii="MS Gothic" w:eastAsia="MS Gothic" w:hAnsi="MS Gothic"/>
          <w:b/>
        </w:rPr>
        <w:tab/>
      </w:r>
      <w:r w:rsidR="00AF29FA" w:rsidRPr="00650589">
        <w:rPr>
          <w:rFonts w:ascii="MS Gothic" w:eastAsia="MS Gothic" w:hAnsi="MS Gothic"/>
          <w:b/>
        </w:rPr>
        <w:tab/>
      </w:r>
      <w:r w:rsidR="00AF29FA" w:rsidRPr="00650589">
        <w:rPr>
          <w:rFonts w:ascii="MS Gothic" w:eastAsia="MS Gothic" w:hAnsi="MS Gothic"/>
          <w:b/>
        </w:rPr>
        <w:tab/>
      </w:r>
      <w:r w:rsidR="00AF29FA" w:rsidRPr="00650589">
        <w:rPr>
          <w:rFonts w:ascii="MS Gothic" w:eastAsia="MS Gothic" w:hAnsi="MS Gothic"/>
          <w:b/>
        </w:rPr>
        <w:tab/>
      </w:r>
      <w:r w:rsidR="00AF29FA" w:rsidRPr="00650589">
        <w:rPr>
          <w:rFonts w:ascii="MS Gothic" w:eastAsia="MS Gothic" w:hAnsi="MS Gothic"/>
          <w:b/>
        </w:rPr>
        <w:tab/>
      </w:r>
      <w:r w:rsidR="00AF29FA" w:rsidRPr="00650589">
        <w:rPr>
          <w:rFonts w:ascii="MS Gothic" w:eastAsia="MS Gothic" w:hAnsi="MS Gothic"/>
          <w:b/>
        </w:rPr>
        <w:tab/>
      </w:r>
      <w:sdt>
        <w:sdtPr>
          <w:rPr>
            <w:rFonts w:ascii="MS Gothic" w:eastAsia="MS Gothic" w:hAnsi="MS Gothic" w:hint="eastAsia"/>
            <w:b/>
          </w:rPr>
          <w:id w:val="-633024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FE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CC4AC7" w:rsidRPr="00650589" w:rsidRDefault="00CC4AC7" w:rsidP="00CC4AC7">
      <w:pPr>
        <w:pStyle w:val="Listenabsatz"/>
      </w:pPr>
    </w:p>
    <w:p w:rsidR="00AF29FA" w:rsidRPr="00650589" w:rsidRDefault="00CC4AC7" w:rsidP="00A54EB6">
      <w:pPr>
        <w:pStyle w:val="Listenabsatz"/>
        <w:numPr>
          <w:ilvl w:val="0"/>
          <w:numId w:val="31"/>
        </w:numPr>
      </w:pPr>
      <w:r w:rsidRPr="00650589">
        <w:t xml:space="preserve">Ggfs. Anregung der Hinzuziehung eines vereidigten Dolmetschers </w:t>
      </w:r>
    </w:p>
    <w:p w:rsidR="00CC4AC7" w:rsidRPr="00650589" w:rsidRDefault="00CC4AC7" w:rsidP="00AF29FA">
      <w:pPr>
        <w:ind w:firstLine="709"/>
      </w:pPr>
      <w:r w:rsidRPr="00650589">
        <w:t>gegenüber dem Gericht</w:t>
      </w:r>
      <w:r w:rsidR="00AF29FA" w:rsidRPr="00650589">
        <w:t>.</w:t>
      </w:r>
      <w:r w:rsidR="00AF29FA" w:rsidRPr="00650589">
        <w:tab/>
      </w:r>
      <w:r w:rsidR="00AF29FA" w:rsidRPr="00650589">
        <w:tab/>
      </w:r>
      <w:r w:rsidR="00AF29FA" w:rsidRPr="00650589">
        <w:tab/>
      </w:r>
      <w:r w:rsidR="00AF29FA" w:rsidRPr="00650589">
        <w:tab/>
      </w:r>
      <w:r w:rsidR="00AF29FA" w:rsidRPr="00650589">
        <w:tab/>
      </w:r>
      <w:r w:rsidR="00AF29FA" w:rsidRPr="00650589">
        <w:tab/>
      </w:r>
      <w:r w:rsidR="00AF29FA" w:rsidRPr="00650589">
        <w:tab/>
      </w:r>
      <w:r w:rsidR="00AF29FA" w:rsidRPr="00650589">
        <w:tab/>
      </w:r>
      <w:sdt>
        <w:sdtPr>
          <w:rPr>
            <w:rFonts w:ascii="MS Gothic" w:eastAsia="MS Gothic" w:hAnsi="MS Gothic" w:hint="eastAsia"/>
            <w:b/>
          </w:rPr>
          <w:id w:val="-12171891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FE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650589" w:rsidRPr="00650589" w:rsidRDefault="00650589" w:rsidP="00650589">
      <w:pPr>
        <w:pStyle w:val="Listenabsatz"/>
        <w:rPr>
          <w:rFonts w:eastAsia="MS Gothic"/>
          <w:b/>
        </w:rPr>
      </w:pPr>
    </w:p>
    <w:p w:rsidR="001326E8" w:rsidRDefault="006054D8" w:rsidP="00961261">
      <w:pPr>
        <w:pStyle w:val="Listenabsatz"/>
        <w:numPr>
          <w:ilvl w:val="0"/>
          <w:numId w:val="31"/>
        </w:numPr>
        <w:rPr>
          <w:rFonts w:eastAsia="MS Gothic"/>
        </w:rPr>
      </w:pPr>
      <w:r>
        <w:rPr>
          <w:rFonts w:eastAsia="MS Gothic"/>
        </w:rPr>
        <w:t>Über Freiwilligkeit der Untersuchung aufklären und dies dokumentieren.</w:t>
      </w:r>
      <w:r w:rsidR="005E5F6D">
        <w:rPr>
          <w:rFonts w:eastAsia="MS Gothic"/>
        </w:rPr>
        <w:tab/>
      </w:r>
      <w:r w:rsidR="00B77A97">
        <w:rPr>
          <w:rFonts w:eastAsia="MS Gothic"/>
        </w:rPr>
        <w:tab/>
      </w:r>
      <w:sdt>
        <w:sdtPr>
          <w:rPr>
            <w:rFonts w:ascii="MS Gothic" w:eastAsia="MS Gothic" w:hAnsi="MS Gothic" w:hint="eastAsia"/>
            <w:b/>
          </w:rPr>
          <w:id w:val="-1878854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FE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5E5F6D" w:rsidRPr="005E5F6D" w:rsidRDefault="005E5F6D" w:rsidP="005E5F6D">
      <w:pPr>
        <w:pStyle w:val="Listenabsatz"/>
        <w:rPr>
          <w:rFonts w:eastAsia="MS Gothic"/>
        </w:rPr>
      </w:pPr>
    </w:p>
    <w:p w:rsidR="00AF29FA" w:rsidRPr="00650589" w:rsidRDefault="00AF29FA" w:rsidP="00961261">
      <w:pPr>
        <w:pStyle w:val="Listenabsatz"/>
        <w:numPr>
          <w:ilvl w:val="0"/>
          <w:numId w:val="31"/>
        </w:numPr>
        <w:rPr>
          <w:rFonts w:eastAsia="MS Gothic"/>
          <w:b/>
        </w:rPr>
      </w:pPr>
      <w:r w:rsidRPr="00650589">
        <w:t>Schweigepflicht beachten</w:t>
      </w:r>
      <w:r w:rsidR="001409B4">
        <w:t>:</w:t>
      </w:r>
      <w:r w:rsidRPr="00650589">
        <w:t xml:space="preserve"> Untersagt der</w:t>
      </w:r>
      <w:r w:rsidR="005E5F6D">
        <w:t>/die</w:t>
      </w:r>
      <w:r w:rsidRPr="00650589">
        <w:t xml:space="preserve"> zu Begutachtende ausdrücklich </w:t>
      </w:r>
    </w:p>
    <w:p w:rsidR="00AF29FA" w:rsidRPr="00650589" w:rsidRDefault="00AF29FA" w:rsidP="00AF29FA">
      <w:pPr>
        <w:pStyle w:val="Listenabsatz"/>
      </w:pPr>
      <w:proofErr w:type="gramStart"/>
      <w:r w:rsidRPr="00650589">
        <w:t>die</w:t>
      </w:r>
      <w:proofErr w:type="gramEnd"/>
      <w:r w:rsidRPr="00650589">
        <w:t xml:space="preserve"> Weitergabe bestimmter Erkenntnisse, sollte dies im Gutachten </w:t>
      </w:r>
    </w:p>
    <w:p w:rsidR="00AF29FA" w:rsidRPr="00650589" w:rsidRDefault="00AF29FA" w:rsidP="00AF29FA">
      <w:pPr>
        <w:pStyle w:val="Listenabsatz"/>
        <w:rPr>
          <w:rFonts w:eastAsia="MS Gothic"/>
          <w:b/>
        </w:rPr>
      </w:pPr>
      <w:proofErr w:type="gramStart"/>
      <w:r w:rsidRPr="00650589">
        <w:t>vermerkt</w:t>
      </w:r>
      <w:proofErr w:type="gramEnd"/>
      <w:r w:rsidRPr="00650589">
        <w:t xml:space="preserve"> werden.</w:t>
      </w:r>
      <w:r w:rsidRPr="00650589">
        <w:tab/>
      </w:r>
      <w:r w:rsidRPr="00650589">
        <w:tab/>
      </w:r>
      <w:r w:rsidRPr="00650589">
        <w:tab/>
      </w:r>
      <w:r w:rsidRPr="00650589">
        <w:tab/>
      </w:r>
      <w:r w:rsidRPr="00650589">
        <w:tab/>
      </w:r>
      <w:r w:rsidRPr="00650589">
        <w:tab/>
      </w:r>
      <w:r w:rsidRPr="00650589">
        <w:tab/>
      </w:r>
      <w:r w:rsidRPr="00650589">
        <w:tab/>
      </w:r>
      <w:r w:rsidRPr="00650589">
        <w:tab/>
      </w:r>
      <w:sdt>
        <w:sdtPr>
          <w:rPr>
            <w:rFonts w:ascii="MS Gothic" w:eastAsia="MS Gothic" w:hAnsi="MS Gothic" w:hint="eastAsia"/>
            <w:b/>
          </w:rPr>
          <w:id w:val="-1556923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3FE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F29FA" w:rsidRPr="00650589" w:rsidRDefault="00AF29FA" w:rsidP="00AF29FA">
      <w:pPr>
        <w:pStyle w:val="Listenabsatz"/>
        <w:rPr>
          <w:rFonts w:eastAsia="MS Gothic"/>
          <w:b/>
        </w:rPr>
      </w:pPr>
    </w:p>
    <w:p w:rsidR="00B77A97" w:rsidRDefault="00B77A97" w:rsidP="00AB298F">
      <w:pPr>
        <w:pStyle w:val="Listenabsatz"/>
        <w:numPr>
          <w:ilvl w:val="0"/>
          <w:numId w:val="31"/>
        </w:numPr>
      </w:pPr>
      <w:r>
        <w:t xml:space="preserve">Verweigert die/der zu Begutachtende die Durchführung der Untersuchung </w:t>
      </w:r>
    </w:p>
    <w:p w:rsidR="00B77A97" w:rsidRDefault="00B77A97" w:rsidP="00B77A97">
      <w:pPr>
        <w:pStyle w:val="Listenabsatz"/>
      </w:pPr>
      <w:proofErr w:type="gramStart"/>
      <w:r>
        <w:t>vollständig</w:t>
      </w:r>
      <w:proofErr w:type="gramEnd"/>
      <w:r>
        <w:t xml:space="preserve">, </w:t>
      </w:r>
      <w:r w:rsidR="0003369B" w:rsidRPr="00650589">
        <w:t xml:space="preserve">Beweisaufnahme abbrechen und Gericht informieren. </w:t>
      </w:r>
      <w:r w:rsidR="00AB298F" w:rsidRPr="00650589">
        <w:t xml:space="preserve">Verweigert </w:t>
      </w:r>
    </w:p>
    <w:p w:rsidR="00AB298F" w:rsidRPr="00650589" w:rsidRDefault="00AB298F" w:rsidP="00AB298F">
      <w:pPr>
        <w:pStyle w:val="Listenabsatz"/>
      </w:pPr>
      <w:r w:rsidRPr="00650589">
        <w:t>der</w:t>
      </w:r>
      <w:r w:rsidR="005E5F6D">
        <w:t>/die</w:t>
      </w:r>
      <w:r w:rsidRPr="00650589">
        <w:t xml:space="preserve"> zu Begutachtende die Durchführung einzelner Maßnahmen, Weigerung </w:t>
      </w:r>
    </w:p>
    <w:p w:rsidR="00AB298F" w:rsidRPr="00650589" w:rsidRDefault="00AB298F" w:rsidP="00AB298F">
      <w:pPr>
        <w:pStyle w:val="Listenabsatz"/>
      </w:pPr>
      <w:proofErr w:type="gramStart"/>
      <w:r w:rsidRPr="00650589">
        <w:t>dokumentieren</w:t>
      </w:r>
      <w:proofErr w:type="gramEnd"/>
      <w:r w:rsidRPr="00650589">
        <w:t xml:space="preserve"> und Auswirkungen der damit fehlenden Befunde auf die </w:t>
      </w:r>
    </w:p>
    <w:p w:rsidR="000302C0" w:rsidRPr="00650589" w:rsidRDefault="00AB298F" w:rsidP="00AB298F">
      <w:pPr>
        <w:pStyle w:val="Listenabsatz"/>
        <w:rPr>
          <w:rFonts w:eastAsia="MS Gothic"/>
          <w:b/>
        </w:rPr>
      </w:pPr>
      <w:r w:rsidRPr="00650589">
        <w:t>Sicherheit der gutachterlichen Schlussfolgerungen kenntlich machen.</w:t>
      </w:r>
      <w:r w:rsidRPr="00650589">
        <w:tab/>
      </w:r>
      <w:r w:rsidR="0003369B" w:rsidRPr="00650589">
        <w:tab/>
      </w:r>
      <w:sdt>
        <w:sdtPr>
          <w:rPr>
            <w:rFonts w:eastAsia="MS Gothic"/>
            <w:b/>
          </w:rPr>
          <w:id w:val="-657689419"/>
        </w:sdtPr>
        <w:sdtEndPr/>
        <w:sdtContent>
          <w:sdt>
            <w:sdtPr>
              <w:rPr>
                <w:rFonts w:ascii="MS Gothic" w:eastAsia="MS Gothic" w:hAnsi="MS Gothic" w:hint="eastAsia"/>
                <w:b/>
              </w:rPr>
              <w:id w:val="-1319880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C3FE3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sdtContent>
      </w:sdt>
    </w:p>
    <w:p w:rsidR="00961261" w:rsidRPr="00650589" w:rsidRDefault="00961261" w:rsidP="00961261">
      <w:pPr>
        <w:pStyle w:val="Listenabsatz"/>
        <w:rPr>
          <w:rFonts w:eastAsia="MS Gothic"/>
        </w:rPr>
      </w:pPr>
    </w:p>
    <w:p w:rsidR="000302C0" w:rsidRDefault="000302C0" w:rsidP="000302C0"/>
    <w:p w:rsidR="00AD52D0" w:rsidRPr="00650589" w:rsidRDefault="00AD52D0" w:rsidP="00AD52D0">
      <w:pPr>
        <w:pStyle w:val="Listenabsatz"/>
        <w:numPr>
          <w:ilvl w:val="0"/>
          <w:numId w:val="28"/>
        </w:numPr>
        <w:ind w:left="709"/>
        <w:rPr>
          <w:b/>
        </w:rPr>
      </w:pPr>
      <w:r w:rsidRPr="00650589">
        <w:rPr>
          <w:b/>
        </w:rPr>
        <w:t>Das schriftliche Gutachten</w:t>
      </w:r>
      <w:r w:rsidR="00967A76">
        <w:rPr>
          <w:rStyle w:val="Funotenzeichen"/>
          <w:b/>
        </w:rPr>
        <w:footnoteReference w:id="2"/>
      </w:r>
    </w:p>
    <w:p w:rsidR="00AD52D0" w:rsidRPr="00650589" w:rsidRDefault="00AD52D0" w:rsidP="00AD52D0"/>
    <w:p w:rsidR="00AD52D0" w:rsidRPr="00650589" w:rsidRDefault="00AD52D0" w:rsidP="00AD52D0">
      <w:pPr>
        <w:pStyle w:val="Listenabsatz"/>
        <w:numPr>
          <w:ilvl w:val="0"/>
          <w:numId w:val="40"/>
        </w:numPr>
      </w:pPr>
      <w:r w:rsidRPr="00650589">
        <w:t xml:space="preserve">Die fachlichen Ausführungen müssen sich streng an den im Beweisbeschluss </w:t>
      </w:r>
    </w:p>
    <w:p w:rsidR="00AD52D0" w:rsidRPr="00650589" w:rsidRDefault="00AD52D0" w:rsidP="00AD52D0">
      <w:pPr>
        <w:pStyle w:val="Listenabsatz"/>
      </w:pPr>
      <w:proofErr w:type="gramStart"/>
      <w:r w:rsidRPr="00650589">
        <w:t>gestellten</w:t>
      </w:r>
      <w:proofErr w:type="gramEnd"/>
      <w:r w:rsidRPr="00650589">
        <w:t xml:space="preserve"> Fragen orientieren. Keine eigenmächtige Überschreitung der </w:t>
      </w:r>
    </w:p>
    <w:p w:rsidR="00B77A97" w:rsidRDefault="00AD52D0" w:rsidP="00AD52D0">
      <w:pPr>
        <w:pStyle w:val="Listenabsatz"/>
      </w:pPr>
      <w:r w:rsidRPr="00650589">
        <w:t xml:space="preserve">Beweisfragen (Gefahr der Befangenheitsablehnung)! </w:t>
      </w:r>
      <w:r w:rsidR="006054D8">
        <w:t xml:space="preserve">Das schließt nicht aus, </w:t>
      </w:r>
    </w:p>
    <w:p w:rsidR="00B77A97" w:rsidRDefault="006054D8" w:rsidP="00AD52D0">
      <w:pPr>
        <w:pStyle w:val="Listenabsatz"/>
      </w:pPr>
      <w:r>
        <w:t xml:space="preserve">nach Rücksprache mit dem Gericht die Beweisfragen ggfs. in fachspezifische </w:t>
      </w:r>
    </w:p>
    <w:p w:rsidR="00AD52D0" w:rsidRPr="00650589" w:rsidRDefault="006054D8" w:rsidP="00AD52D0">
      <w:pPr>
        <w:pStyle w:val="Listenabsatz"/>
      </w:pPr>
      <w:r>
        <w:t>Hypothesen bzw. in durch das angefragte Fachgebiet zu beantwortende Fragen umzuwandeln.</w:t>
      </w:r>
      <w:r w:rsidR="00AD52D0" w:rsidRPr="00650589">
        <w:tab/>
      </w:r>
      <w:r w:rsidR="00AD52D0" w:rsidRPr="00650589">
        <w:tab/>
      </w:r>
      <w:r w:rsidR="00B77A97">
        <w:tab/>
      </w:r>
      <w:r w:rsidR="00B77A97">
        <w:tab/>
      </w:r>
      <w:r w:rsidR="00B77A97">
        <w:tab/>
      </w:r>
      <w:r w:rsidR="00B77A97">
        <w:tab/>
      </w:r>
      <w:r w:rsidR="00B77A97">
        <w:tab/>
      </w:r>
      <w:r w:rsidR="00B77A97">
        <w:tab/>
      </w:r>
      <w:r w:rsidR="00B77A97">
        <w:tab/>
      </w:r>
      <w:sdt>
        <w:sdtPr>
          <w:id w:val="597138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FE3">
            <w:rPr>
              <w:rFonts w:ascii="MS Gothic" w:eastAsia="MS Gothic" w:hAnsi="MS Gothic" w:hint="eastAsia"/>
            </w:rPr>
            <w:t>☐</w:t>
          </w:r>
        </w:sdtContent>
      </w:sdt>
    </w:p>
    <w:p w:rsidR="00AD52D0" w:rsidRPr="00650589" w:rsidRDefault="00AD52D0" w:rsidP="00AD52D0">
      <w:pPr>
        <w:pStyle w:val="Listenabsatz"/>
      </w:pPr>
    </w:p>
    <w:p w:rsidR="00AD52D0" w:rsidRPr="00650589" w:rsidRDefault="00AD52D0" w:rsidP="00AD52D0">
      <w:pPr>
        <w:pStyle w:val="Listenabsatz"/>
        <w:numPr>
          <w:ilvl w:val="0"/>
          <w:numId w:val="40"/>
        </w:numPr>
      </w:pPr>
      <w:r w:rsidRPr="00650589">
        <w:t xml:space="preserve">Die Ergebnisse sind für den fachlichen Laien verständlich und </w:t>
      </w:r>
    </w:p>
    <w:p w:rsidR="00D41C2B" w:rsidRDefault="00AD52D0" w:rsidP="00AD52D0">
      <w:pPr>
        <w:pStyle w:val="Listenabsatz"/>
      </w:pPr>
      <w:proofErr w:type="gramStart"/>
      <w:r w:rsidRPr="00650589">
        <w:t>nachvollziehbar</w:t>
      </w:r>
      <w:proofErr w:type="gramEnd"/>
      <w:r w:rsidRPr="00650589">
        <w:t xml:space="preserve"> zu begründen und zu formulieren. </w:t>
      </w:r>
      <w:r w:rsidR="00D41C2B">
        <w:t xml:space="preserve">Deutsche Fachausdrücke </w:t>
      </w:r>
    </w:p>
    <w:p w:rsidR="00AD52D0" w:rsidRPr="00650589" w:rsidRDefault="00D41C2B" w:rsidP="00AD52D0">
      <w:pPr>
        <w:pStyle w:val="Listenabsatz"/>
        <w:rPr>
          <w:rFonts w:eastAsia="MS Gothic"/>
          <w:b/>
        </w:rPr>
      </w:pPr>
      <w:proofErr w:type="gramStart"/>
      <w:r>
        <w:t>benutzen</w:t>
      </w:r>
      <w:proofErr w:type="gramEnd"/>
      <w:r>
        <w:t xml:space="preserve"> oder Fachausdrücke übersetzen.</w:t>
      </w:r>
      <w:r>
        <w:tab/>
      </w:r>
      <w:r>
        <w:tab/>
      </w:r>
      <w:r>
        <w:tab/>
      </w:r>
      <w:r>
        <w:tab/>
      </w:r>
      <w:r>
        <w:tab/>
      </w:r>
      <w:r w:rsidR="00AD52D0" w:rsidRPr="00650589">
        <w:rPr>
          <w:rFonts w:eastAsia="MS Gothic"/>
          <w:b/>
        </w:rPr>
        <w:t xml:space="preserve"> </w:t>
      </w:r>
      <w:r w:rsidR="00AD52D0" w:rsidRPr="00650589">
        <w:rPr>
          <w:rFonts w:eastAsia="MS Gothic"/>
          <w:b/>
        </w:rPr>
        <w:tab/>
      </w:r>
      <w:sdt>
        <w:sdtPr>
          <w:rPr>
            <w:rFonts w:eastAsia="MS Gothic"/>
            <w:b/>
          </w:rPr>
          <w:id w:val="-86374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FE3">
            <w:rPr>
              <w:rFonts w:ascii="MS Gothic" w:eastAsia="MS Gothic" w:hAnsi="MS Gothic" w:hint="eastAsia"/>
              <w:b/>
            </w:rPr>
            <w:t>☐</w:t>
          </w:r>
        </w:sdtContent>
      </w:sdt>
    </w:p>
    <w:p w:rsidR="00AD52D0" w:rsidRPr="00650589" w:rsidRDefault="00AD52D0" w:rsidP="00AD52D0"/>
    <w:p w:rsidR="00AD52D0" w:rsidRPr="00884F78" w:rsidRDefault="00AD52D0" w:rsidP="00AD52D0">
      <w:pPr>
        <w:pStyle w:val="Listenabsatz"/>
        <w:numPr>
          <w:ilvl w:val="0"/>
          <w:numId w:val="40"/>
        </w:numPr>
        <w:rPr>
          <w:rFonts w:eastAsia="MS Gothic"/>
        </w:rPr>
      </w:pPr>
      <w:r w:rsidRPr="00650589">
        <w:t xml:space="preserve">Feststellung und Beurteilungen auf das Wesentliche reduzieren, ohne die </w:t>
      </w:r>
      <w:r w:rsidRPr="00884F78">
        <w:t xml:space="preserve">Nachvollziehbarkeit zu beeinträchtigen; keine überflüssigen Ausschweifungen. </w:t>
      </w:r>
      <w:r w:rsidRPr="00884F78">
        <w:tab/>
      </w:r>
      <w:sdt>
        <w:sdtPr>
          <w:id w:val="31900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FE3">
            <w:rPr>
              <w:rFonts w:ascii="MS Gothic" w:eastAsia="MS Gothic" w:hAnsi="MS Gothic" w:hint="eastAsia"/>
            </w:rPr>
            <w:t>☐</w:t>
          </w:r>
        </w:sdtContent>
      </w:sdt>
      <w:r w:rsidRPr="00884F78">
        <w:rPr>
          <w:rFonts w:eastAsia="MS Gothic"/>
          <w:b/>
        </w:rPr>
        <w:br/>
      </w:r>
    </w:p>
    <w:p w:rsidR="00AD52D0" w:rsidRPr="00884F78" w:rsidRDefault="00AD52D0" w:rsidP="00AD52D0"/>
    <w:p w:rsidR="00AD52D0" w:rsidRPr="00884F78" w:rsidRDefault="00AD52D0" w:rsidP="00AD52D0">
      <w:pPr>
        <w:pStyle w:val="Listenabsatz"/>
        <w:numPr>
          <w:ilvl w:val="0"/>
          <w:numId w:val="28"/>
        </w:numPr>
        <w:ind w:left="709" w:hanging="709"/>
        <w:rPr>
          <w:b/>
        </w:rPr>
      </w:pPr>
      <w:r w:rsidRPr="00884F78">
        <w:rPr>
          <w:b/>
        </w:rPr>
        <w:t xml:space="preserve">Das mündliche Gutachten / </w:t>
      </w:r>
      <w:r w:rsidRPr="00884F78">
        <w:rPr>
          <w:b/>
        </w:rPr>
        <w:br/>
        <w:t>Die mündliche Erläuterung des schriftlichen Gutachtens</w:t>
      </w:r>
    </w:p>
    <w:p w:rsidR="00AD52D0" w:rsidRPr="00884F78" w:rsidRDefault="00AD52D0" w:rsidP="00AD52D0">
      <w:pPr>
        <w:rPr>
          <w:b/>
        </w:rPr>
      </w:pPr>
    </w:p>
    <w:p w:rsidR="00AD52D0" w:rsidRPr="00884F78" w:rsidRDefault="00AD52D0" w:rsidP="00AD52D0">
      <w:pPr>
        <w:ind w:left="709"/>
      </w:pPr>
      <w:r w:rsidRPr="00884F78">
        <w:t>Was beim mündlichen Vortrag zu beachten ist:</w:t>
      </w:r>
    </w:p>
    <w:p w:rsidR="00AD52D0" w:rsidRPr="00884F78" w:rsidRDefault="00AD52D0" w:rsidP="00AD52D0">
      <w:pPr>
        <w:ind w:left="709"/>
      </w:pPr>
    </w:p>
    <w:p w:rsidR="00AD52D0" w:rsidRPr="00884F78" w:rsidRDefault="00AD52D0" w:rsidP="00AD52D0">
      <w:pPr>
        <w:pStyle w:val="Listenabsatz"/>
        <w:numPr>
          <w:ilvl w:val="0"/>
          <w:numId w:val="37"/>
        </w:numPr>
      </w:pPr>
      <w:r w:rsidRPr="00884F78">
        <w:t xml:space="preserve">Grundlagen des mündlichen Gutachtens in gedrängter Form schriftlich </w:t>
      </w:r>
    </w:p>
    <w:p w:rsidR="00884F78" w:rsidRPr="00884F78" w:rsidRDefault="00AD52D0" w:rsidP="00AD52D0">
      <w:pPr>
        <w:pStyle w:val="Listenabsatz"/>
      </w:pPr>
      <w:proofErr w:type="gramStart"/>
      <w:r w:rsidRPr="00884F78">
        <w:t>abfassen</w:t>
      </w:r>
      <w:proofErr w:type="gramEnd"/>
      <w:r w:rsidRPr="00884F78">
        <w:t xml:space="preserve"> </w:t>
      </w:r>
      <w:r w:rsidR="00E60E96" w:rsidRPr="00884F78">
        <w:t>und die angefertigte Unterlage (</w:t>
      </w:r>
      <w:proofErr w:type="spellStart"/>
      <w:r w:rsidR="00E60E96" w:rsidRPr="00884F78">
        <w:t>ggf.unter</w:t>
      </w:r>
      <w:proofErr w:type="spellEnd"/>
      <w:r w:rsidR="00E60E96" w:rsidRPr="00884F78">
        <w:t xml:space="preserve"> Beifügung von Lichtbildern, </w:t>
      </w:r>
    </w:p>
    <w:p w:rsidR="00884F78" w:rsidRPr="00884F78" w:rsidRDefault="00E60E96" w:rsidP="00AD52D0">
      <w:pPr>
        <w:pStyle w:val="Listenabsatz"/>
      </w:pPr>
      <w:r w:rsidRPr="00884F78">
        <w:t xml:space="preserve">Skizzen, </w:t>
      </w:r>
      <w:r w:rsidR="00033B75" w:rsidRPr="00884F78">
        <w:t xml:space="preserve">Diagrammen etc.) im Termin den Parteien und dem Gericht </w:t>
      </w:r>
    </w:p>
    <w:p w:rsidR="00884F78" w:rsidRDefault="00033B75" w:rsidP="00AD52D0">
      <w:pPr>
        <w:pStyle w:val="Listenabsatz"/>
      </w:pPr>
      <w:proofErr w:type="gramStart"/>
      <w:r w:rsidRPr="00884F78">
        <w:t>überreichen</w:t>
      </w:r>
      <w:proofErr w:type="gramEnd"/>
      <w:r w:rsidRPr="00884F78">
        <w:t>, wenn vom Gericht so beauftragt</w:t>
      </w:r>
      <w:r>
        <w:t xml:space="preserve"> oder zur Schaffung von </w:t>
      </w:r>
    </w:p>
    <w:p w:rsidR="00AD52D0" w:rsidRPr="00650589" w:rsidRDefault="00033B75" w:rsidP="00AD52D0">
      <w:pPr>
        <w:pStyle w:val="Listenabsatz"/>
      </w:pPr>
      <w:r>
        <w:lastRenderedPageBreak/>
        <w:t>Übersichtlichkeit und Verständlichkeit zweckmäßig</w:t>
      </w:r>
      <w:r>
        <w:rPr>
          <w:rStyle w:val="Funotenzeichen"/>
        </w:rPr>
        <w:footnoteReference w:id="3"/>
      </w:r>
      <w:r>
        <w:t>.</w:t>
      </w:r>
      <w:r w:rsidR="00D41C2B">
        <w:t xml:space="preserve"> </w:t>
      </w:r>
      <w:r>
        <w:tab/>
      </w:r>
      <w:r>
        <w:tab/>
      </w:r>
      <w:r w:rsidR="00AD52D0" w:rsidRPr="00650589">
        <w:tab/>
      </w:r>
      <w:r w:rsidR="00AD52D0" w:rsidRPr="00650589">
        <w:tab/>
      </w:r>
      <w:sdt>
        <w:sdtPr>
          <w:id w:val="39524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FE3">
            <w:rPr>
              <w:rFonts w:ascii="MS Gothic" w:eastAsia="MS Gothic" w:hAnsi="MS Gothic" w:hint="eastAsia"/>
            </w:rPr>
            <w:t>☐</w:t>
          </w:r>
        </w:sdtContent>
      </w:sdt>
    </w:p>
    <w:p w:rsidR="00AD52D0" w:rsidRPr="00650589" w:rsidRDefault="00AD52D0" w:rsidP="00AD52D0">
      <w:pPr>
        <w:pStyle w:val="Listenabsatz"/>
      </w:pPr>
    </w:p>
    <w:p w:rsidR="00AD52D0" w:rsidRPr="00650589" w:rsidRDefault="00AD52D0" w:rsidP="00AD52D0">
      <w:pPr>
        <w:pStyle w:val="Listenabsatz"/>
        <w:numPr>
          <w:ilvl w:val="0"/>
          <w:numId w:val="37"/>
        </w:numPr>
      </w:pPr>
      <w:r w:rsidRPr="00650589">
        <w:t xml:space="preserve">Spontane Äußerungen vermeiden. Sie bergen die Gefahr, etwas Wichtiges zu </w:t>
      </w:r>
    </w:p>
    <w:p w:rsidR="00AD52D0" w:rsidRPr="00650589" w:rsidRDefault="00AD52D0" w:rsidP="00AD52D0">
      <w:pPr>
        <w:ind w:left="360" w:firstLine="349"/>
      </w:pPr>
      <w:proofErr w:type="gramStart"/>
      <w:r w:rsidRPr="00650589">
        <w:t>übersehen</w:t>
      </w:r>
      <w:proofErr w:type="gramEnd"/>
      <w:r w:rsidRPr="00650589">
        <w:t xml:space="preserve"> oder etwas Schwieriges nicht voll zu erfassen.</w:t>
      </w:r>
      <w:r w:rsidRPr="00650589">
        <w:tab/>
      </w:r>
      <w:r w:rsidRPr="00650589">
        <w:tab/>
      </w:r>
      <w:r w:rsidRPr="00650589">
        <w:tab/>
      </w:r>
      <w:r w:rsidRPr="00650589">
        <w:tab/>
      </w:r>
      <w:sdt>
        <w:sdtPr>
          <w:id w:val="176673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FE3">
            <w:rPr>
              <w:rFonts w:ascii="MS Gothic" w:eastAsia="MS Gothic" w:hAnsi="MS Gothic" w:hint="eastAsia"/>
            </w:rPr>
            <w:t>☐</w:t>
          </w:r>
        </w:sdtContent>
      </w:sdt>
    </w:p>
    <w:p w:rsidR="00AD52D0" w:rsidRPr="00650589" w:rsidRDefault="00AD52D0" w:rsidP="00AD52D0">
      <w:pPr>
        <w:ind w:left="360" w:firstLine="349"/>
      </w:pPr>
    </w:p>
    <w:p w:rsidR="00AD52D0" w:rsidRPr="00650589" w:rsidRDefault="00AD52D0" w:rsidP="00AD52D0">
      <w:pPr>
        <w:pStyle w:val="Listenabsatz"/>
        <w:numPr>
          <w:ilvl w:val="0"/>
          <w:numId w:val="37"/>
        </w:numPr>
      </w:pPr>
      <w:r w:rsidRPr="00650589">
        <w:t>Auf korrekte Protokollierung achten.</w:t>
      </w:r>
      <w:r w:rsidRPr="00650589">
        <w:tab/>
      </w:r>
      <w:r w:rsidRPr="00650589">
        <w:tab/>
      </w:r>
      <w:r w:rsidRPr="00650589">
        <w:tab/>
      </w:r>
      <w:r w:rsidRPr="00650589">
        <w:tab/>
      </w:r>
      <w:r w:rsidRPr="00650589">
        <w:tab/>
      </w:r>
      <w:r w:rsidRPr="00650589">
        <w:tab/>
      </w:r>
      <w:r w:rsidRPr="00650589">
        <w:tab/>
      </w:r>
      <w:sdt>
        <w:sdtPr>
          <w:id w:val="-198938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FE3">
            <w:rPr>
              <w:rFonts w:ascii="MS Gothic" w:eastAsia="MS Gothic" w:hAnsi="MS Gothic" w:hint="eastAsia"/>
            </w:rPr>
            <w:t>☐</w:t>
          </w:r>
        </w:sdtContent>
      </w:sdt>
    </w:p>
    <w:p w:rsidR="00AD52D0" w:rsidRPr="00650589" w:rsidRDefault="00AD52D0" w:rsidP="00AD52D0"/>
    <w:p w:rsidR="00FB5946" w:rsidRDefault="00AD52D0" w:rsidP="00FB5946">
      <w:pPr>
        <w:pStyle w:val="Listenabsatz"/>
        <w:numPr>
          <w:ilvl w:val="0"/>
          <w:numId w:val="37"/>
        </w:numPr>
        <w:ind w:right="1415"/>
      </w:pPr>
      <w:r w:rsidRPr="00650589">
        <w:t xml:space="preserve">Zuhörer nicht überfordern: Klar gliedern, nicht zu weitschweifig, aber auch nicht zu knapp vortragen. </w:t>
      </w:r>
      <w:r w:rsidR="00D41C2B">
        <w:t>Auf für Laien verständliche Ausdrucksweise achten.</w:t>
      </w:r>
      <w:r w:rsidR="00C76F27">
        <w:t xml:space="preserve"> Möglichst deutsche Fachausdrücke verwenden oder Fachausdrücke </w:t>
      </w:r>
    </w:p>
    <w:p w:rsidR="00AD52D0" w:rsidRPr="00650589" w:rsidRDefault="00C76F27" w:rsidP="00FB5946">
      <w:pPr>
        <w:pStyle w:val="Listenabsatz"/>
        <w:ind w:right="-2"/>
      </w:pPr>
      <w:proofErr w:type="gramStart"/>
      <w:r>
        <w:t>übersetzen</w:t>
      </w:r>
      <w:proofErr w:type="gramEnd"/>
      <w:r>
        <w:t>.</w:t>
      </w:r>
      <w:r w:rsidR="00D41C2B">
        <w:tab/>
      </w:r>
      <w:r w:rsidR="00D41C2B">
        <w:tab/>
      </w:r>
      <w:r w:rsidR="00D41C2B">
        <w:tab/>
      </w:r>
      <w:r w:rsidR="00D41C2B">
        <w:tab/>
      </w:r>
      <w:r w:rsidR="00AD52D0" w:rsidRPr="00650589">
        <w:t xml:space="preserve"> </w:t>
      </w:r>
      <w:r w:rsidR="00AD52D0" w:rsidRPr="00650589">
        <w:tab/>
      </w:r>
      <w:r w:rsidR="00AD52D0" w:rsidRPr="00650589">
        <w:tab/>
      </w:r>
      <w:r w:rsidR="00AD52D0" w:rsidRPr="00650589">
        <w:tab/>
      </w:r>
      <w:r w:rsidR="00AD52D0" w:rsidRPr="00650589">
        <w:tab/>
      </w:r>
      <w:r w:rsidR="00FB5946">
        <w:tab/>
      </w:r>
      <w:r w:rsidR="00AD52D0" w:rsidRPr="00650589">
        <w:tab/>
      </w:r>
      <w:sdt>
        <w:sdtPr>
          <w:id w:val="-94793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FE3">
            <w:rPr>
              <w:rFonts w:ascii="MS Gothic" w:eastAsia="MS Gothic" w:hAnsi="MS Gothic" w:hint="eastAsia"/>
            </w:rPr>
            <w:t>☐</w:t>
          </w:r>
        </w:sdtContent>
      </w:sdt>
    </w:p>
    <w:p w:rsidR="00AD52D0" w:rsidRPr="00650589" w:rsidRDefault="00AD52D0" w:rsidP="00AD52D0">
      <w:pPr>
        <w:rPr>
          <w:b/>
        </w:rPr>
      </w:pPr>
    </w:p>
    <w:p w:rsidR="00AD52D0" w:rsidRPr="00650589" w:rsidRDefault="00AD52D0" w:rsidP="000302C0"/>
    <w:p w:rsidR="00250416" w:rsidRPr="00650589" w:rsidRDefault="00250416" w:rsidP="0006413A">
      <w:pPr>
        <w:pStyle w:val="Listenabsatz"/>
        <w:numPr>
          <w:ilvl w:val="0"/>
          <w:numId w:val="41"/>
        </w:numPr>
        <w:ind w:left="709" w:hanging="709"/>
        <w:rPr>
          <w:b/>
        </w:rPr>
      </w:pPr>
      <w:r w:rsidRPr="00650589">
        <w:rPr>
          <w:b/>
        </w:rPr>
        <w:t>Nach Abschluss des Gutachtens</w:t>
      </w:r>
    </w:p>
    <w:p w:rsidR="00250416" w:rsidRPr="00650589" w:rsidRDefault="00250416" w:rsidP="00250416">
      <w:pPr>
        <w:rPr>
          <w:b/>
        </w:rPr>
      </w:pPr>
    </w:p>
    <w:p w:rsidR="0006413A" w:rsidRPr="00650589" w:rsidRDefault="006937D9" w:rsidP="00A43856">
      <w:pPr>
        <w:pStyle w:val="Listenabsatz"/>
        <w:numPr>
          <w:ilvl w:val="0"/>
          <w:numId w:val="36"/>
        </w:numPr>
      </w:pPr>
      <w:r w:rsidRPr="00650589">
        <w:t>S</w:t>
      </w:r>
      <w:r w:rsidR="006F5738" w:rsidRPr="00650589">
        <w:t>chlussrechnung verschicken</w:t>
      </w:r>
      <w:r w:rsidR="00E35047" w:rsidRPr="00650589">
        <w:t xml:space="preserve"> (Achtung: 3-Monatsfrist beachten, ansonsten </w:t>
      </w:r>
    </w:p>
    <w:p w:rsidR="00363E9E" w:rsidRPr="00650589" w:rsidRDefault="00E35047" w:rsidP="0006413A">
      <w:pPr>
        <w:pStyle w:val="Listenabsatz"/>
      </w:pPr>
      <w:proofErr w:type="gramStart"/>
      <w:r w:rsidRPr="00650589">
        <w:t>erlischt</w:t>
      </w:r>
      <w:proofErr w:type="gramEnd"/>
      <w:r w:rsidRPr="00650589">
        <w:t xml:space="preserve"> der Vergütungsanspruch</w:t>
      </w:r>
      <w:r w:rsidR="008C044F" w:rsidRPr="00650589">
        <w:t>, vgl. § 2 Abs. 1 JVEG</w:t>
      </w:r>
      <w:r w:rsidRPr="00650589">
        <w:t>)</w:t>
      </w:r>
      <w:r w:rsidR="00F83097" w:rsidRPr="00650589">
        <w:t>.</w:t>
      </w:r>
      <w:r w:rsidR="00547B16" w:rsidRPr="00650589">
        <w:tab/>
      </w:r>
      <w:r w:rsidR="00547B16" w:rsidRPr="00650589">
        <w:tab/>
      </w:r>
      <w:r w:rsidR="00547B16" w:rsidRPr="00650589">
        <w:tab/>
      </w:r>
      <w:r w:rsidR="00547B16" w:rsidRPr="00650589">
        <w:tab/>
      </w:r>
      <w:sdt>
        <w:sdtPr>
          <w:id w:val="46593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FE3">
            <w:rPr>
              <w:rFonts w:ascii="MS Gothic" w:eastAsia="MS Gothic" w:hAnsi="MS Gothic" w:hint="eastAsia"/>
            </w:rPr>
            <w:t>☐</w:t>
          </w:r>
        </w:sdtContent>
      </w:sdt>
      <w:r w:rsidR="006F5738" w:rsidRPr="00650589">
        <w:br/>
      </w:r>
    </w:p>
    <w:p w:rsidR="006F5738" w:rsidRPr="00650589" w:rsidRDefault="006F5738" w:rsidP="006F5738">
      <w:pPr>
        <w:pStyle w:val="Listenabsatz"/>
        <w:numPr>
          <w:ilvl w:val="0"/>
          <w:numId w:val="36"/>
        </w:numPr>
      </w:pPr>
      <w:r w:rsidRPr="00650589">
        <w:t>Anfrage nach einer Urteilsabschrift</w:t>
      </w:r>
      <w:r w:rsidR="00F83097" w:rsidRPr="00650589">
        <w:t>.</w:t>
      </w:r>
      <w:r w:rsidRPr="00650589">
        <w:tab/>
      </w:r>
      <w:r w:rsidRPr="00650589">
        <w:tab/>
      </w:r>
      <w:r w:rsidRPr="00650589">
        <w:tab/>
      </w:r>
      <w:r w:rsidRPr="00650589">
        <w:tab/>
      </w:r>
      <w:r w:rsidRPr="00650589">
        <w:tab/>
      </w:r>
      <w:r w:rsidRPr="00650589">
        <w:tab/>
      </w:r>
      <w:r w:rsidRPr="00650589">
        <w:tab/>
      </w:r>
      <w:sdt>
        <w:sdtPr>
          <w:id w:val="143047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FE3">
            <w:rPr>
              <w:rFonts w:ascii="MS Gothic" w:eastAsia="MS Gothic" w:hAnsi="MS Gothic" w:hint="eastAsia"/>
            </w:rPr>
            <w:t>☐</w:t>
          </w:r>
        </w:sdtContent>
      </w:sdt>
    </w:p>
    <w:p w:rsidR="006F5738" w:rsidRPr="00650589" w:rsidRDefault="006F5738" w:rsidP="006F5738">
      <w:pPr>
        <w:ind w:left="360"/>
      </w:pPr>
    </w:p>
    <w:p w:rsidR="000302C0" w:rsidRPr="00650589" w:rsidRDefault="00A54EB6" w:rsidP="000302C0">
      <w:pPr>
        <w:pStyle w:val="Listenabsatz"/>
        <w:numPr>
          <w:ilvl w:val="0"/>
          <w:numId w:val="36"/>
        </w:numPr>
      </w:pPr>
      <w:r w:rsidRPr="00650589">
        <w:t xml:space="preserve">Feedback an </w:t>
      </w:r>
      <w:r w:rsidR="0044043D">
        <w:t>das Gericht</w:t>
      </w:r>
      <w:r w:rsidRPr="00650589">
        <w:t xml:space="preserve"> geben, falls es besondere </w:t>
      </w:r>
      <w:r w:rsidR="007507F2" w:rsidRPr="00650589">
        <w:br/>
      </w:r>
      <w:r w:rsidRPr="00650589">
        <w:t>positive/negative Erfahrungen g</w:t>
      </w:r>
      <w:r w:rsidR="007507F2" w:rsidRPr="00650589">
        <w:t>ab</w:t>
      </w:r>
      <w:r w:rsidR="00F83097" w:rsidRPr="00650589">
        <w:t>.</w:t>
      </w:r>
      <w:r w:rsidR="00E35047" w:rsidRPr="00650589">
        <w:t xml:space="preserve"> </w:t>
      </w:r>
      <w:r w:rsidR="0015746C" w:rsidRPr="00650589">
        <w:t xml:space="preserve">   </w:t>
      </w:r>
      <w:r w:rsidR="007507F2" w:rsidRPr="00650589">
        <w:tab/>
      </w:r>
      <w:r w:rsidR="007507F2" w:rsidRPr="00650589">
        <w:tab/>
      </w:r>
      <w:r w:rsidR="007507F2" w:rsidRPr="00650589">
        <w:tab/>
      </w:r>
      <w:r w:rsidR="007507F2" w:rsidRPr="00650589">
        <w:tab/>
      </w:r>
      <w:r w:rsidR="007507F2" w:rsidRPr="00650589">
        <w:tab/>
      </w:r>
      <w:r w:rsidR="007507F2" w:rsidRPr="00650589">
        <w:tab/>
      </w:r>
      <w:sdt>
        <w:sdtPr>
          <w:id w:val="-175781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FE3">
            <w:rPr>
              <w:rFonts w:ascii="MS Gothic" w:eastAsia="MS Gothic" w:hAnsi="MS Gothic" w:hint="eastAsia"/>
            </w:rPr>
            <w:t>☐</w:t>
          </w:r>
        </w:sdtContent>
      </w:sdt>
    </w:p>
    <w:p w:rsidR="00355299" w:rsidRPr="00650589" w:rsidRDefault="00355299" w:rsidP="005E5F6D">
      <w:pPr>
        <w:ind w:firstLine="364"/>
      </w:pPr>
    </w:p>
    <w:p w:rsidR="00355299" w:rsidRPr="00650589" w:rsidRDefault="00355299" w:rsidP="00355299"/>
    <w:p w:rsidR="00355299" w:rsidRPr="00650589" w:rsidRDefault="00355299" w:rsidP="00355299">
      <w:pPr>
        <w:rPr>
          <w:b/>
        </w:rPr>
      </w:pPr>
      <w:r w:rsidRPr="00650589">
        <w:rPr>
          <w:b/>
        </w:rPr>
        <w:t xml:space="preserve">Merke: </w:t>
      </w:r>
    </w:p>
    <w:p w:rsidR="00250416" w:rsidRPr="00650589" w:rsidRDefault="00355299" w:rsidP="00A43856">
      <w:pPr>
        <w:pStyle w:val="Listenabsatz"/>
        <w:numPr>
          <w:ilvl w:val="0"/>
          <w:numId w:val="38"/>
        </w:numPr>
      </w:pPr>
      <w:r w:rsidRPr="00650589">
        <w:t xml:space="preserve">Alle Anfragen, </w:t>
      </w:r>
      <w:r w:rsidR="00E35047" w:rsidRPr="00650589">
        <w:t xml:space="preserve">Anforderungen von Unterlagen, </w:t>
      </w:r>
      <w:r w:rsidRPr="00650589">
        <w:t>Abstimmungen, Fristverlängerungen etc. laufen über das Gericht!</w:t>
      </w:r>
      <w:r w:rsidR="00503AE1" w:rsidRPr="00650589">
        <w:br/>
      </w:r>
    </w:p>
    <w:p w:rsidR="00355299" w:rsidRPr="00650589" w:rsidRDefault="00355299" w:rsidP="00A43856">
      <w:pPr>
        <w:pStyle w:val="Listenabsatz"/>
        <w:numPr>
          <w:ilvl w:val="0"/>
          <w:numId w:val="38"/>
        </w:numPr>
      </w:pPr>
      <w:r w:rsidRPr="00650589">
        <w:t xml:space="preserve">Die Einschaltung von </w:t>
      </w:r>
      <w:r w:rsidR="00E35047" w:rsidRPr="00650589">
        <w:t>M</w:t>
      </w:r>
      <w:r w:rsidR="00027B9A" w:rsidRPr="00650589">
        <w:t>i</w:t>
      </w:r>
      <w:r w:rsidR="00E35047" w:rsidRPr="00650589">
        <w:t xml:space="preserve">tarbeitern </w:t>
      </w:r>
      <w:r w:rsidRPr="00650589">
        <w:t>ist kenntlich zu machen</w:t>
      </w:r>
      <w:r w:rsidR="002C0E40" w:rsidRPr="00650589">
        <w:t xml:space="preserve">, </w:t>
      </w:r>
      <w:r w:rsidR="00E35047" w:rsidRPr="00650589">
        <w:t xml:space="preserve">soweit es sich nicht um Hilfsdienste von nur untergeordneter Bedeutung handelt, </w:t>
      </w:r>
      <w:r w:rsidR="002C0E40" w:rsidRPr="00650589">
        <w:t xml:space="preserve">§ </w:t>
      </w:r>
      <w:r w:rsidR="00203E38" w:rsidRPr="00650589">
        <w:t xml:space="preserve">407a </w:t>
      </w:r>
      <w:r w:rsidR="00FC6454" w:rsidRPr="00650589">
        <w:t xml:space="preserve">Abs. </w:t>
      </w:r>
      <w:r w:rsidR="00CF0A19">
        <w:t>3</w:t>
      </w:r>
      <w:r w:rsidR="00203E38" w:rsidRPr="00650589">
        <w:t xml:space="preserve"> S. 2 ZPO</w:t>
      </w:r>
      <w:r w:rsidRPr="00650589">
        <w:t>!</w:t>
      </w:r>
      <w:r w:rsidR="00503AE1" w:rsidRPr="00650589">
        <w:br/>
      </w:r>
    </w:p>
    <w:p w:rsidR="00363E9E" w:rsidRPr="00650589" w:rsidRDefault="00363E9E" w:rsidP="00A43856">
      <w:pPr>
        <w:pStyle w:val="Listenabsatz"/>
        <w:numPr>
          <w:ilvl w:val="0"/>
          <w:numId w:val="38"/>
        </w:numPr>
      </w:pPr>
      <w:r w:rsidRPr="00650589">
        <w:t xml:space="preserve">Bei </w:t>
      </w:r>
      <w:r w:rsidR="00A54EB6" w:rsidRPr="00650589">
        <w:t xml:space="preserve">Verstoß gegen </w:t>
      </w:r>
      <w:r w:rsidR="008E5123">
        <w:t xml:space="preserve">die </w:t>
      </w:r>
      <w:r w:rsidR="00A54EB6" w:rsidRPr="00650589">
        <w:t xml:space="preserve">Gutachtenerstattungspflicht </w:t>
      </w:r>
      <w:r w:rsidR="008E5123">
        <w:t xml:space="preserve">wird </w:t>
      </w:r>
      <w:r w:rsidR="00A54EB6" w:rsidRPr="00650589">
        <w:t>und</w:t>
      </w:r>
      <w:r w:rsidR="008E5123">
        <w:t xml:space="preserve"> bei </w:t>
      </w:r>
      <w:r w:rsidRPr="00650589">
        <w:t>Fristversäumnis</w:t>
      </w:r>
      <w:r w:rsidR="008E5123">
        <w:t xml:space="preserve"> </w:t>
      </w:r>
      <w:r w:rsidR="00CF0A19">
        <w:t>soll</w:t>
      </w:r>
      <w:r w:rsidR="008E5123">
        <w:t xml:space="preserve"> das</w:t>
      </w:r>
      <w:r w:rsidRPr="00650589">
        <w:t xml:space="preserve"> Gericht </w:t>
      </w:r>
      <w:r w:rsidR="008E5123">
        <w:t xml:space="preserve">ein </w:t>
      </w:r>
      <w:r w:rsidRPr="00650589">
        <w:t>Ordnungsgeld verhängen, §</w:t>
      </w:r>
      <w:r w:rsidR="008E5123">
        <w:t>§</w:t>
      </w:r>
      <w:r w:rsidRPr="00650589">
        <w:t xml:space="preserve"> </w:t>
      </w:r>
      <w:r w:rsidR="00D04646">
        <w:t xml:space="preserve">409 Abs. 1, </w:t>
      </w:r>
      <w:r w:rsidRPr="00650589">
        <w:t>411 Abs. 2 ZPO</w:t>
      </w:r>
      <w:r w:rsidR="007E45C4" w:rsidRPr="00650589">
        <w:t>!</w:t>
      </w:r>
      <w:r w:rsidR="00DA0ABE" w:rsidRPr="00650589">
        <w:t xml:space="preserve"> Wenn trotz Festsetzung eines weiteren Ordnungsgeldes die Leistung nicht vollständig erbracht wird, kann die Vergütung gekürzt werden oder ganz entfallen (§ 8a Abs. 2 Nr. 4 JVEG).</w:t>
      </w:r>
    </w:p>
    <w:sectPr w:rsidR="00363E9E" w:rsidRPr="00650589" w:rsidSect="00AD219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052" w:rsidRDefault="00EF6052">
      <w:r>
        <w:separator/>
      </w:r>
    </w:p>
  </w:endnote>
  <w:endnote w:type="continuationSeparator" w:id="0">
    <w:p w:rsidR="00EF6052" w:rsidRDefault="00EF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zidenz-Grotesk BQ">
    <w:altName w:val="Arial Narrow"/>
    <w:charset w:val="00"/>
    <w:family w:val="swiss"/>
    <w:pitch w:val="variable"/>
    <w:sig w:usb0="00000027" w:usb1="10000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89" w:rsidRDefault="004A4810">
    <w:pPr>
      <w:framePr w:w="1075" w:h="425" w:wrap="around" w:vAnchor="page" w:hAnchor="page" w:x="9982" w:y="16051"/>
      <w:tabs>
        <w:tab w:val="left" w:pos="2552"/>
        <w:tab w:val="left" w:pos="4820"/>
        <w:tab w:val="left" w:pos="7088"/>
      </w:tabs>
      <w:spacing w:line="360" w:lineRule="auto"/>
      <w:jc w:val="right"/>
      <w:rPr>
        <w:b/>
        <w:bCs/>
        <w:color w:val="333333"/>
        <w:sz w:val="20"/>
      </w:rPr>
    </w:pPr>
    <w:r>
      <w:rPr>
        <w:b/>
        <w:bCs/>
        <w:sz w:val="18"/>
      </w:rPr>
      <w:fldChar w:fldCharType="begin"/>
    </w:r>
    <w:r w:rsidR="00650589">
      <w:rPr>
        <w:b/>
        <w:bCs/>
        <w:sz w:val="18"/>
      </w:rPr>
      <w:instrText xml:space="preserve"> PAGE </w:instrText>
    </w:r>
    <w:r>
      <w:rPr>
        <w:b/>
        <w:bCs/>
        <w:sz w:val="18"/>
      </w:rPr>
      <w:fldChar w:fldCharType="separate"/>
    </w:r>
    <w:r w:rsidR="006E0857">
      <w:rPr>
        <w:b/>
        <w:bCs/>
        <w:noProof/>
        <w:sz w:val="18"/>
      </w:rPr>
      <w:t>3</w:t>
    </w:r>
    <w:r>
      <w:rPr>
        <w:b/>
        <w:bCs/>
        <w:sz w:val="18"/>
      </w:rPr>
      <w:fldChar w:fldCharType="end"/>
    </w:r>
    <w:r w:rsidR="00650589">
      <w:rPr>
        <w:b/>
        <w:bCs/>
        <w:sz w:val="18"/>
      </w:rPr>
      <w:t>/</w:t>
    </w:r>
    <w:r>
      <w:rPr>
        <w:b/>
        <w:bCs/>
        <w:sz w:val="18"/>
      </w:rPr>
      <w:fldChar w:fldCharType="begin"/>
    </w:r>
    <w:r w:rsidR="00650589">
      <w:rPr>
        <w:b/>
        <w:bCs/>
        <w:sz w:val="18"/>
      </w:rPr>
      <w:instrText xml:space="preserve"> NUMPAGES </w:instrText>
    </w:r>
    <w:r>
      <w:rPr>
        <w:b/>
        <w:bCs/>
        <w:sz w:val="18"/>
      </w:rPr>
      <w:fldChar w:fldCharType="separate"/>
    </w:r>
    <w:r w:rsidR="006E0857">
      <w:rPr>
        <w:b/>
        <w:bCs/>
        <w:noProof/>
        <w:sz w:val="18"/>
      </w:rPr>
      <w:t>3</w:t>
    </w:r>
    <w:r>
      <w:rPr>
        <w:b/>
        <w:bCs/>
        <w:sz w:val="18"/>
      </w:rPr>
      <w:fldChar w:fldCharType="end"/>
    </w:r>
  </w:p>
  <w:p w:rsidR="003D6E43" w:rsidRDefault="00467297">
    <w:pPr>
      <w:pStyle w:val="Fuzeile"/>
    </w:pPr>
    <w:r>
      <w:rPr>
        <w:noProof/>
        <w:color w:val="999999"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4253865</wp:posOffset>
              </wp:positionH>
              <wp:positionV relativeFrom="page">
                <wp:posOffset>10066020</wp:posOffset>
              </wp:positionV>
              <wp:extent cx="1943100" cy="266700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0589" w:rsidRDefault="00650589">
                          <w:pPr>
                            <w:jc w:val="right"/>
                            <w:rPr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</w:rPr>
                            <w:t xml:space="preserve">Stand: </w:t>
                          </w:r>
                          <w:r w:rsidR="00634D11">
                            <w:rPr>
                              <w:color w:val="999999"/>
                              <w:sz w:val="14"/>
                            </w:rPr>
                            <w:t>August</w:t>
                          </w:r>
                          <w:r w:rsidR="008E5123">
                            <w:rPr>
                              <w:color w:val="999999"/>
                              <w:sz w:val="14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334.95pt;margin-top:792.6pt;width:153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" filled="f" stroked="f">
              <v:textbox>
                <w:txbxContent>
                  <w:p w:rsidR="00650589" w:rsidRDefault="00650589">
                    <w:pPr>
                      <w:jc w:val="right"/>
                      <w:rPr>
                        <w:color w:val="999999"/>
                        <w:sz w:val="14"/>
                      </w:rPr>
                    </w:pPr>
                    <w:r>
                      <w:rPr>
                        <w:color w:val="999999"/>
                        <w:sz w:val="14"/>
                      </w:rPr>
                      <w:t xml:space="preserve">Stand: </w:t>
                    </w:r>
                    <w:r w:rsidR="00634D11">
                      <w:rPr>
                        <w:color w:val="999999"/>
                        <w:sz w:val="14"/>
                      </w:rPr>
                      <w:t>August</w:t>
                    </w:r>
                    <w:r w:rsidR="008E5123">
                      <w:rPr>
                        <w:color w:val="999999"/>
                        <w:sz w:val="14"/>
                      </w:rPr>
                      <w:t xml:space="preserve"> 2021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  <w:color w:val="999999"/>
        <w:sz w:val="18"/>
        <w:szCs w:val="18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116205</wp:posOffset>
              </wp:positionV>
              <wp:extent cx="6172200" cy="7620"/>
              <wp:effectExtent l="0" t="0" r="19050" b="30480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A25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2.5pt;margin-top:9.15pt;width:486pt;height: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"/>
          </w:pict>
        </mc:Fallback>
      </mc:AlternateContent>
    </w:r>
  </w:p>
  <w:p w:rsidR="00650589" w:rsidRPr="00613F3C" w:rsidRDefault="00467297">
    <w:pPr>
      <w:pStyle w:val="Fuzeile"/>
      <w:rPr>
        <w:color w:val="999999"/>
        <w:sz w:val="18"/>
        <w:szCs w:val="18"/>
      </w:rPr>
    </w:pPr>
    <w:r>
      <w:rPr>
        <w:noProof/>
        <w:color w:val="999999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29845" b="190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766A3" id="Line 8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jOEwIAACc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" strokecolor="#333">
              <w10:wrap anchorx="page" anchory="page"/>
            </v:line>
          </w:pict>
        </mc:Fallback>
      </mc:AlternateContent>
    </w:r>
    <w:r w:rsidR="003D6E43" w:rsidRPr="003D6E43">
      <w:rPr>
        <w:color w:val="999999"/>
        <w:sz w:val="18"/>
        <w:szCs w:val="18"/>
      </w:rPr>
      <w:t>Urheber: Qualitätszirkel Sachverständigenwesen NRW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ansprechpartner"/>
  <w:bookmarkEnd w:id="0"/>
  <w:p w:rsidR="00650589" w:rsidRDefault="004A4810">
    <w:pPr>
      <w:framePr w:w="1075" w:h="425" w:wrap="around" w:vAnchor="page" w:hAnchor="page" w:x="9982" w:y="16051"/>
      <w:tabs>
        <w:tab w:val="left" w:pos="2552"/>
        <w:tab w:val="left" w:pos="4820"/>
        <w:tab w:val="left" w:pos="7088"/>
      </w:tabs>
      <w:spacing w:line="360" w:lineRule="auto"/>
      <w:jc w:val="right"/>
      <w:rPr>
        <w:b/>
        <w:bCs/>
        <w:color w:val="333333"/>
        <w:sz w:val="20"/>
      </w:rPr>
    </w:pPr>
    <w:r>
      <w:rPr>
        <w:b/>
        <w:bCs/>
        <w:sz w:val="18"/>
      </w:rPr>
      <w:fldChar w:fldCharType="begin"/>
    </w:r>
    <w:r w:rsidR="00650589">
      <w:rPr>
        <w:b/>
        <w:bCs/>
        <w:sz w:val="18"/>
      </w:rPr>
      <w:instrText xml:space="preserve"> PAGE </w:instrText>
    </w:r>
    <w:r>
      <w:rPr>
        <w:b/>
        <w:bCs/>
        <w:sz w:val="18"/>
      </w:rPr>
      <w:fldChar w:fldCharType="separate"/>
    </w:r>
    <w:r w:rsidR="006E0857">
      <w:rPr>
        <w:b/>
        <w:bCs/>
        <w:noProof/>
        <w:sz w:val="18"/>
      </w:rPr>
      <w:t>1</w:t>
    </w:r>
    <w:r>
      <w:rPr>
        <w:b/>
        <w:bCs/>
        <w:sz w:val="18"/>
      </w:rPr>
      <w:fldChar w:fldCharType="end"/>
    </w:r>
    <w:r w:rsidR="00650589">
      <w:rPr>
        <w:b/>
        <w:bCs/>
        <w:sz w:val="18"/>
      </w:rPr>
      <w:t>/</w:t>
    </w:r>
    <w:r>
      <w:rPr>
        <w:b/>
        <w:bCs/>
        <w:sz w:val="18"/>
      </w:rPr>
      <w:fldChar w:fldCharType="begin"/>
    </w:r>
    <w:r w:rsidR="00650589">
      <w:rPr>
        <w:b/>
        <w:bCs/>
        <w:sz w:val="18"/>
      </w:rPr>
      <w:instrText xml:space="preserve"> NUMPAGES </w:instrText>
    </w:r>
    <w:r>
      <w:rPr>
        <w:b/>
        <w:bCs/>
        <w:sz w:val="18"/>
      </w:rPr>
      <w:fldChar w:fldCharType="separate"/>
    </w:r>
    <w:r w:rsidR="006E0857">
      <w:rPr>
        <w:b/>
        <w:bCs/>
        <w:noProof/>
        <w:sz w:val="18"/>
      </w:rPr>
      <w:t>3</w:t>
    </w:r>
    <w:r>
      <w:rPr>
        <w:b/>
        <w:bCs/>
        <w:sz w:val="18"/>
      </w:rPr>
      <w:fldChar w:fldCharType="end"/>
    </w:r>
  </w:p>
  <w:p w:rsidR="00650589" w:rsidRDefault="0046729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column">
                <wp:posOffset>4253865</wp:posOffset>
              </wp:positionH>
              <wp:positionV relativeFrom="page">
                <wp:posOffset>10073640</wp:posOffset>
              </wp:positionV>
              <wp:extent cx="1943100" cy="266700"/>
              <wp:effectExtent l="0" t="0" r="0" b="0"/>
              <wp:wrapNone/>
              <wp:docPr id="5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946" w:rsidRDefault="00FB5946" w:rsidP="00FB5946">
                          <w:pPr>
                            <w:jc w:val="right"/>
                            <w:rPr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color w:val="999999"/>
                              <w:sz w:val="14"/>
                            </w:rPr>
                            <w:t>Stand:</w:t>
                          </w:r>
                          <w:r w:rsidR="00634D11">
                            <w:rPr>
                              <w:color w:val="999999"/>
                              <w:sz w:val="14"/>
                            </w:rPr>
                            <w:t xml:space="preserve"> August</w:t>
                          </w:r>
                          <w:r w:rsidR="008E5123">
                            <w:rPr>
                              <w:color w:val="999999"/>
                              <w:sz w:val="14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34.95pt;margin-top:793.2pt;width:153pt;height:2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" filled="f" stroked="f">
              <v:textbox>
                <w:txbxContent>
                  <w:p w:rsidR="00FB5946" w:rsidRDefault="00FB5946" w:rsidP="00FB5946">
                    <w:pPr>
                      <w:jc w:val="right"/>
                      <w:rPr>
                        <w:color w:val="999999"/>
                        <w:sz w:val="14"/>
                      </w:rPr>
                    </w:pPr>
                    <w:r>
                      <w:rPr>
                        <w:color w:val="999999"/>
                        <w:sz w:val="14"/>
                      </w:rPr>
                      <w:t>Stand:</w:t>
                    </w:r>
                    <w:r w:rsidR="00634D11">
                      <w:rPr>
                        <w:color w:val="999999"/>
                        <w:sz w:val="14"/>
                      </w:rPr>
                      <w:t xml:space="preserve"> August</w:t>
                    </w:r>
                    <w:r w:rsidR="008E5123">
                      <w:rPr>
                        <w:color w:val="999999"/>
                        <w:sz w:val="14"/>
                      </w:rPr>
                      <w:t xml:space="preserve"> 2021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posOffset>-31750</wp:posOffset>
              </wp:positionH>
              <wp:positionV relativeFrom="paragraph">
                <wp:posOffset>123825</wp:posOffset>
              </wp:positionV>
              <wp:extent cx="6172200" cy="7620"/>
              <wp:effectExtent l="0" t="0" r="19050" b="30480"/>
              <wp:wrapNone/>
              <wp:docPr id="2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1876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2.5pt;margin-top:9.75pt;width:486pt;height: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RkIgIAAD8EAAAOAAAAZHJzL2Uyb0RvYy54bWysU9uO2jAQfa/Uf7D8DrkUW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2984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519862" id="Line 5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f3Eg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" strokecolor="#333">
              <w10:wrap anchorx="page" anchory="page"/>
            </v:line>
          </w:pict>
        </mc:Fallback>
      </mc:AlternateContent>
    </w:r>
  </w:p>
  <w:p w:rsidR="00650589" w:rsidRPr="00FB5946" w:rsidRDefault="00467297">
    <w:pPr>
      <w:pStyle w:val="Fuzeile"/>
      <w:rPr>
        <w:color w:val="999999"/>
        <w:sz w:val="18"/>
        <w:szCs w:val="18"/>
      </w:rPr>
    </w:pPr>
    <w:r>
      <w:rPr>
        <w:noProof/>
        <w:color w:val="999999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74112" behindDoc="0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29845" b="19050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8F11D" id="Line 8" o:spid="_x0000_s1026" style="position:absolute;z-index:2516741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xKXEg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" strokecolor="#333">
              <w10:wrap anchorx="page" anchory="page"/>
            </v:line>
          </w:pict>
        </mc:Fallback>
      </mc:AlternateContent>
    </w:r>
    <w:r w:rsidR="00FB5946" w:rsidRPr="003D6E43">
      <w:rPr>
        <w:color w:val="999999"/>
        <w:sz w:val="18"/>
        <w:szCs w:val="18"/>
      </w:rPr>
      <w:t>Urheber: Qualitätszirkel Sachverständigenwesen NRW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052" w:rsidRDefault="00EF6052">
      <w:r>
        <w:separator/>
      </w:r>
    </w:p>
  </w:footnote>
  <w:footnote w:type="continuationSeparator" w:id="0">
    <w:p w:rsidR="00EF6052" w:rsidRDefault="00EF6052">
      <w:r>
        <w:continuationSeparator/>
      </w:r>
    </w:p>
  </w:footnote>
  <w:footnote w:id="1">
    <w:p w:rsidR="003D6E43" w:rsidRPr="00613F3C" w:rsidRDefault="003D6E43" w:rsidP="003D6E43">
      <w:pPr>
        <w:pStyle w:val="Funotentext"/>
        <w:rPr>
          <w:rFonts w:ascii="Arial" w:hAnsi="Arial"/>
          <w:sz w:val="16"/>
          <w:szCs w:val="16"/>
        </w:rPr>
      </w:pPr>
      <w:r w:rsidRPr="00613F3C">
        <w:rPr>
          <w:rStyle w:val="Funotenzeichen"/>
          <w:rFonts w:ascii="Arial" w:hAnsi="Arial"/>
          <w:sz w:val="16"/>
          <w:szCs w:val="16"/>
        </w:rPr>
        <w:footnoteRef/>
      </w:r>
      <w:r w:rsidRPr="00613F3C">
        <w:rPr>
          <w:rFonts w:ascii="Arial" w:hAnsi="Arial"/>
          <w:sz w:val="16"/>
          <w:szCs w:val="16"/>
        </w:rPr>
        <w:t xml:space="preserve"> Die Ergebnisse der Klärung sollten dokumentiert werden (z.B. durch ein Schreiben oder einen Vermerk). Dies gilt für sämtliche Abreden mit dem Gericht.</w:t>
      </w:r>
    </w:p>
  </w:footnote>
  <w:footnote w:id="2">
    <w:p w:rsidR="00967A76" w:rsidRPr="00884F78" w:rsidRDefault="00967A76">
      <w:pPr>
        <w:pStyle w:val="Funotentext"/>
        <w:rPr>
          <w:rFonts w:ascii="Arial" w:hAnsi="Arial"/>
          <w:color w:val="000000"/>
          <w:sz w:val="16"/>
          <w:szCs w:val="16"/>
        </w:rPr>
      </w:pPr>
      <w:r w:rsidRPr="00613F3C">
        <w:rPr>
          <w:rStyle w:val="Funotenzeichen"/>
          <w:rFonts w:ascii="Arial" w:hAnsi="Arial"/>
          <w:sz w:val="16"/>
          <w:szCs w:val="16"/>
        </w:rPr>
        <w:footnoteRef/>
      </w:r>
      <w:r w:rsidRPr="00613F3C">
        <w:rPr>
          <w:rFonts w:ascii="Arial" w:hAnsi="Arial"/>
          <w:sz w:val="16"/>
          <w:szCs w:val="16"/>
        </w:rPr>
        <w:t xml:space="preserve"> </w:t>
      </w:r>
      <w:r w:rsidRPr="00884F78">
        <w:rPr>
          <w:rFonts w:ascii="Arial" w:hAnsi="Arial"/>
          <w:color w:val="000000"/>
          <w:sz w:val="16"/>
          <w:szCs w:val="16"/>
        </w:rPr>
        <w:t>Beachten Sie zu Inhalt und Aufbau eines Sachverständigengutachtens im Arzthaftungsrecht auch die Leitlinie „</w:t>
      </w:r>
      <w:hyperlink r:id="rId1" w:history="1">
        <w:r w:rsidRPr="00884F78">
          <w:rPr>
            <w:rStyle w:val="Hyperlink"/>
            <w:rFonts w:ascii="Arial" w:hAnsi="Arial"/>
            <w:sz w:val="16"/>
            <w:szCs w:val="16"/>
          </w:rPr>
          <w:t>Allgemeine Grundlagen der medizinischen Begutachtung</w:t>
        </w:r>
      </w:hyperlink>
      <w:r w:rsidRPr="00884F78">
        <w:rPr>
          <w:rFonts w:ascii="Arial" w:hAnsi="Arial"/>
          <w:color w:val="000000"/>
          <w:sz w:val="16"/>
          <w:szCs w:val="16"/>
        </w:rPr>
        <w:t xml:space="preserve">“ der </w:t>
      </w:r>
      <w:r w:rsidRPr="00884F78">
        <w:rPr>
          <w:rFonts w:ascii="Arial" w:hAnsi="Arial"/>
          <w:bCs/>
          <w:color w:val="000000"/>
          <w:sz w:val="16"/>
          <w:szCs w:val="16"/>
        </w:rPr>
        <w:t>A</w:t>
      </w:r>
      <w:r w:rsidRPr="00884F78">
        <w:rPr>
          <w:rFonts w:ascii="Arial" w:hAnsi="Arial"/>
          <w:color w:val="000000"/>
          <w:sz w:val="16"/>
          <w:szCs w:val="16"/>
        </w:rPr>
        <w:t xml:space="preserve">rbeitsgemeinschaft der </w:t>
      </w:r>
      <w:r w:rsidRPr="00884F78">
        <w:rPr>
          <w:rFonts w:ascii="Arial" w:hAnsi="Arial"/>
          <w:bCs/>
          <w:color w:val="000000"/>
          <w:sz w:val="16"/>
          <w:szCs w:val="16"/>
        </w:rPr>
        <w:t>W</w:t>
      </w:r>
      <w:r w:rsidRPr="00884F78">
        <w:rPr>
          <w:rFonts w:ascii="Arial" w:hAnsi="Arial"/>
          <w:color w:val="000000"/>
          <w:sz w:val="16"/>
          <w:szCs w:val="16"/>
        </w:rPr>
        <w:t>issenschaftlichen</w:t>
      </w:r>
      <w:r w:rsidRPr="00884F78">
        <w:rPr>
          <w:rFonts w:ascii="Arial" w:hAnsi="Arial"/>
          <w:color w:val="000000"/>
          <w:sz w:val="16"/>
          <w:szCs w:val="16"/>
        </w:rPr>
        <w:br/>
      </w:r>
      <w:r w:rsidRPr="00884F78">
        <w:rPr>
          <w:rFonts w:ascii="Arial" w:hAnsi="Arial"/>
          <w:bCs/>
          <w:color w:val="000000"/>
          <w:sz w:val="16"/>
          <w:szCs w:val="16"/>
        </w:rPr>
        <w:t>M</w:t>
      </w:r>
      <w:r w:rsidRPr="00884F78">
        <w:rPr>
          <w:rFonts w:ascii="Arial" w:hAnsi="Arial"/>
          <w:color w:val="000000"/>
          <w:sz w:val="16"/>
          <w:szCs w:val="16"/>
        </w:rPr>
        <w:t xml:space="preserve">edizinischen </w:t>
      </w:r>
      <w:r w:rsidRPr="00884F78">
        <w:rPr>
          <w:rFonts w:ascii="Arial" w:hAnsi="Arial"/>
          <w:bCs/>
          <w:color w:val="000000"/>
          <w:sz w:val="16"/>
          <w:szCs w:val="16"/>
        </w:rPr>
        <w:t>F</w:t>
      </w:r>
      <w:r w:rsidRPr="00884F78">
        <w:rPr>
          <w:rFonts w:ascii="Arial" w:hAnsi="Arial"/>
          <w:color w:val="000000"/>
          <w:sz w:val="16"/>
          <w:szCs w:val="16"/>
        </w:rPr>
        <w:t>achgesellschaften e.V. (AWMF). Die dort enthaltenen Hinweise sind auf den Seiten 29 bis 32 in einer Checkliste zusammengefasst.</w:t>
      </w:r>
    </w:p>
    <w:p w:rsidR="00B066EA" w:rsidRPr="00613F3C" w:rsidRDefault="006054D8">
      <w:pPr>
        <w:pStyle w:val="Funotentext"/>
        <w:rPr>
          <w:rFonts w:ascii="Arial" w:hAnsi="Arial"/>
          <w:color w:val="000000"/>
          <w:sz w:val="16"/>
          <w:szCs w:val="16"/>
        </w:rPr>
      </w:pPr>
      <w:r w:rsidRPr="00884F78">
        <w:rPr>
          <w:rFonts w:ascii="Arial" w:hAnsi="Arial"/>
          <w:color w:val="000000"/>
          <w:sz w:val="16"/>
          <w:szCs w:val="16"/>
        </w:rPr>
        <w:t xml:space="preserve">Für Inhalt und Aufbau eines psychologischen oder psychotherapeutischen Sachverständigengutachtens beachten Sie bitte die Empfehlungen der </w:t>
      </w:r>
      <w:r w:rsidR="00B066EA" w:rsidRPr="00884F78">
        <w:rPr>
          <w:rFonts w:ascii="Arial" w:hAnsi="Arial"/>
          <w:sz w:val="16"/>
          <w:szCs w:val="16"/>
        </w:rPr>
        <w:t>Arbeitsgruppe „Qualitätsstandards für psychodiagnostische Gutachten“ im Auftrag der Deutschen Gesellschaft für Psychologie DGPs</w:t>
      </w:r>
      <w:r w:rsidR="00B066EA" w:rsidRPr="00884F78">
        <w:rPr>
          <w:rFonts w:ascii="Arial" w:hAnsi="Arial"/>
          <w:i/>
          <w:iCs/>
          <w:sz w:val="16"/>
          <w:szCs w:val="16"/>
        </w:rPr>
        <w:t xml:space="preserve"> (Version 2.2), </w:t>
      </w:r>
      <w:r w:rsidR="00B066EA" w:rsidRPr="00884F78">
        <w:rPr>
          <w:rFonts w:ascii="Arial" w:hAnsi="Arial"/>
          <w:sz w:val="16"/>
          <w:szCs w:val="16"/>
        </w:rPr>
        <w:t>2011.</w:t>
      </w:r>
    </w:p>
  </w:footnote>
  <w:footnote w:id="3">
    <w:p w:rsidR="00033B75" w:rsidRDefault="00033B75">
      <w:pPr>
        <w:pStyle w:val="Funotentext"/>
      </w:pPr>
      <w:r>
        <w:rPr>
          <w:rStyle w:val="Funotenzeichen"/>
        </w:rPr>
        <w:footnoteRef/>
      </w:r>
      <w:r>
        <w:t xml:space="preserve"> Um Vergütungsprobleme auszuschließen, sollte in diesem Fall das Einverständnis des Gerichts eingeholt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89" w:rsidRDefault="00650589">
    <w:pPr>
      <w:pStyle w:val="Titel"/>
      <w:tabs>
        <w:tab w:val="right" w:pos="9000"/>
      </w:tabs>
      <w:jc w:val="left"/>
    </w:pPr>
  </w:p>
  <w:p w:rsidR="00E37880" w:rsidRDefault="00E37880" w:rsidP="00E37880">
    <w:pPr>
      <w:pStyle w:val="Titel"/>
      <w:jc w:val="left"/>
      <w:rPr>
        <w:sz w:val="28"/>
      </w:rPr>
    </w:pPr>
    <w:r>
      <w:rPr>
        <w:sz w:val="28"/>
      </w:rPr>
      <w:t>Checkliste für die Übernahme eines medizinischen</w:t>
    </w:r>
    <w:r w:rsidR="00472C8A">
      <w:rPr>
        <w:sz w:val="28"/>
      </w:rPr>
      <w:t>, zahnmedizin</w:t>
    </w:r>
    <w:r w:rsidR="008E5123">
      <w:rPr>
        <w:sz w:val="28"/>
      </w:rPr>
      <w:t>i</w:t>
    </w:r>
    <w:r w:rsidR="00472C8A">
      <w:rPr>
        <w:sz w:val="28"/>
      </w:rPr>
      <w:t>schen</w:t>
    </w:r>
    <w:r>
      <w:rPr>
        <w:sz w:val="28"/>
      </w:rPr>
      <w:t xml:space="preserve"> oder psychotherapeutischen Gutachtenauftrages</w:t>
    </w:r>
  </w:p>
  <w:p w:rsidR="00650589" w:rsidRDefault="00650589">
    <w:pPr>
      <w:pBdr>
        <w:bottom w:val="single" w:sz="12" w:space="4" w:color="auto"/>
      </w:pBdr>
      <w:tabs>
        <w:tab w:val="left" w:pos="2745"/>
      </w:tabs>
      <w:jc w:val="both"/>
      <w:rPr>
        <w:b/>
      </w:rPr>
    </w:pPr>
  </w:p>
  <w:p w:rsidR="00650589" w:rsidRDefault="00650589">
    <w:pPr>
      <w:jc w:val="both"/>
      <w:rPr>
        <w:b/>
      </w:rPr>
    </w:pPr>
  </w:p>
  <w:p w:rsidR="00650589" w:rsidRDefault="00650589">
    <w:pPr>
      <w:jc w:val="both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589" w:rsidRDefault="00650589">
    <w:pPr>
      <w:pStyle w:val="Titel"/>
      <w:jc w:val="left"/>
      <w:rPr>
        <w:sz w:val="28"/>
      </w:rPr>
    </w:pPr>
    <w:r>
      <w:rPr>
        <w:sz w:val="28"/>
      </w:rPr>
      <w:t>Checkliste für die Übernahme eines medizinischen</w:t>
    </w:r>
    <w:r w:rsidR="000B0D87">
      <w:rPr>
        <w:sz w:val="28"/>
      </w:rPr>
      <w:t>, zahnmedizinischen</w:t>
    </w:r>
    <w:r>
      <w:rPr>
        <w:sz w:val="28"/>
      </w:rPr>
      <w:t xml:space="preserve"> oder psychotherapeutischen Gutachtenauftrages</w:t>
    </w:r>
  </w:p>
  <w:p w:rsidR="00650589" w:rsidRDefault="00650589">
    <w:pPr>
      <w:pBdr>
        <w:bottom w:val="single" w:sz="12" w:space="4" w:color="auto"/>
      </w:pBdr>
      <w:tabs>
        <w:tab w:val="left" w:pos="2745"/>
      </w:tabs>
      <w:jc w:val="both"/>
      <w:rPr>
        <w:b/>
      </w:rPr>
    </w:pPr>
  </w:p>
  <w:p w:rsidR="00650589" w:rsidRDefault="00650589">
    <w:pPr>
      <w:jc w:val="both"/>
      <w:rPr>
        <w:b/>
      </w:rPr>
    </w:pPr>
  </w:p>
  <w:p w:rsidR="00650589" w:rsidRDefault="00650589">
    <w:pPr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3B08"/>
    <w:multiLevelType w:val="hybridMultilevel"/>
    <w:tmpl w:val="6760422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22ED"/>
    <w:multiLevelType w:val="hybridMultilevel"/>
    <w:tmpl w:val="3BF814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A101D"/>
    <w:multiLevelType w:val="hybridMultilevel"/>
    <w:tmpl w:val="C5B66E28"/>
    <w:lvl w:ilvl="0" w:tplc="6B0C1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9527F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826E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087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6A21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68E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AA36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52A5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8DA8A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9751A"/>
    <w:multiLevelType w:val="hybridMultilevel"/>
    <w:tmpl w:val="8DF0A7BC"/>
    <w:lvl w:ilvl="0" w:tplc="BBD8E6E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51C"/>
    <w:multiLevelType w:val="hybridMultilevel"/>
    <w:tmpl w:val="B7409792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BB42B1"/>
    <w:multiLevelType w:val="multilevel"/>
    <w:tmpl w:val="5AB08970"/>
    <w:lvl w:ilvl="0">
      <w:start w:val="1"/>
      <w:numFmt w:val="upperRoman"/>
      <w:pStyle w:val="berschrift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6E6262D"/>
    <w:multiLevelType w:val="hybridMultilevel"/>
    <w:tmpl w:val="6FCAF9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220C"/>
    <w:multiLevelType w:val="hybridMultilevel"/>
    <w:tmpl w:val="CAD26ECA"/>
    <w:lvl w:ilvl="0" w:tplc="9732EA6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A330C"/>
    <w:multiLevelType w:val="hybridMultilevel"/>
    <w:tmpl w:val="2E9A5408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81151C5"/>
    <w:multiLevelType w:val="hybridMultilevel"/>
    <w:tmpl w:val="71F082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7212D"/>
    <w:multiLevelType w:val="hybridMultilevel"/>
    <w:tmpl w:val="6B2033A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13A6"/>
    <w:multiLevelType w:val="hybridMultilevel"/>
    <w:tmpl w:val="546876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B653A"/>
    <w:multiLevelType w:val="hybridMultilevel"/>
    <w:tmpl w:val="6F8E07D8"/>
    <w:lvl w:ilvl="0" w:tplc="5E2674A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32CC6831"/>
    <w:multiLevelType w:val="hybridMultilevel"/>
    <w:tmpl w:val="AA30753A"/>
    <w:lvl w:ilvl="0" w:tplc="7E223C9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2D4EF0"/>
    <w:multiLevelType w:val="hybridMultilevel"/>
    <w:tmpl w:val="1B2EFC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923D4"/>
    <w:multiLevelType w:val="multilevel"/>
    <w:tmpl w:val="6F8E07D8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C5377E1"/>
    <w:multiLevelType w:val="hybridMultilevel"/>
    <w:tmpl w:val="7FD6B064"/>
    <w:lvl w:ilvl="0" w:tplc="DCE24534">
      <w:start w:val="1"/>
      <w:numFmt w:val="bullet"/>
      <w:lvlText w:val=""/>
      <w:lvlJc w:val="left"/>
      <w:pPr>
        <w:tabs>
          <w:tab w:val="num" w:pos="1040"/>
        </w:tabs>
        <w:ind w:left="102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3EE643A5"/>
    <w:multiLevelType w:val="hybridMultilevel"/>
    <w:tmpl w:val="25EC599C"/>
    <w:lvl w:ilvl="0" w:tplc="2F4E1B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84D98"/>
    <w:multiLevelType w:val="hybridMultilevel"/>
    <w:tmpl w:val="A1965E4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F0901"/>
    <w:multiLevelType w:val="hybridMultilevel"/>
    <w:tmpl w:val="24AAEB76"/>
    <w:lvl w:ilvl="0" w:tplc="7D42C482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504AB6"/>
    <w:multiLevelType w:val="hybridMultilevel"/>
    <w:tmpl w:val="CCB0FE54"/>
    <w:lvl w:ilvl="0" w:tplc="DCE24534">
      <w:start w:val="1"/>
      <w:numFmt w:val="bullet"/>
      <w:lvlText w:val=""/>
      <w:lvlJc w:val="left"/>
      <w:pPr>
        <w:tabs>
          <w:tab w:val="num" w:pos="2320"/>
        </w:tabs>
        <w:ind w:left="230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00"/>
        </w:tabs>
        <w:ind w:left="34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20"/>
        </w:tabs>
        <w:ind w:left="4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40"/>
        </w:tabs>
        <w:ind w:left="4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60"/>
        </w:tabs>
        <w:ind w:left="55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80"/>
        </w:tabs>
        <w:ind w:left="6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00"/>
        </w:tabs>
        <w:ind w:left="7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20"/>
        </w:tabs>
        <w:ind w:left="77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40"/>
        </w:tabs>
        <w:ind w:left="8440" w:hanging="360"/>
      </w:pPr>
      <w:rPr>
        <w:rFonts w:ascii="Wingdings" w:hAnsi="Wingdings" w:hint="default"/>
      </w:rPr>
    </w:lvl>
  </w:abstractNum>
  <w:abstractNum w:abstractNumId="21" w15:restartNumberingAfterBreak="0">
    <w:nsid w:val="45A21FCA"/>
    <w:multiLevelType w:val="multilevel"/>
    <w:tmpl w:val="6F8E07D8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49D41539"/>
    <w:multiLevelType w:val="hybridMultilevel"/>
    <w:tmpl w:val="9E7A2A50"/>
    <w:lvl w:ilvl="0" w:tplc="DCE24534">
      <w:start w:val="1"/>
      <w:numFmt w:val="bullet"/>
      <w:lvlText w:val=""/>
      <w:lvlJc w:val="left"/>
      <w:pPr>
        <w:tabs>
          <w:tab w:val="num" w:pos="1040"/>
        </w:tabs>
        <w:ind w:left="102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3" w15:restartNumberingAfterBreak="0">
    <w:nsid w:val="4AE74100"/>
    <w:multiLevelType w:val="hybridMultilevel"/>
    <w:tmpl w:val="16B69E3A"/>
    <w:lvl w:ilvl="0" w:tplc="DCE2453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81D2C"/>
    <w:multiLevelType w:val="hybridMultilevel"/>
    <w:tmpl w:val="38766218"/>
    <w:lvl w:ilvl="0" w:tplc="CF5692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978DC"/>
    <w:multiLevelType w:val="hybridMultilevel"/>
    <w:tmpl w:val="DF64A4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70966"/>
    <w:multiLevelType w:val="hybridMultilevel"/>
    <w:tmpl w:val="641E6A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C476B0"/>
    <w:multiLevelType w:val="hybridMultilevel"/>
    <w:tmpl w:val="638E9E64"/>
    <w:lvl w:ilvl="0" w:tplc="0407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 w15:restartNumberingAfterBreak="0">
    <w:nsid w:val="54766B77"/>
    <w:multiLevelType w:val="hybridMultilevel"/>
    <w:tmpl w:val="676042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D38E6"/>
    <w:multiLevelType w:val="hybridMultilevel"/>
    <w:tmpl w:val="6760422E"/>
    <w:lvl w:ilvl="0" w:tplc="79286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451A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64C76130"/>
    <w:multiLevelType w:val="multilevel"/>
    <w:tmpl w:val="6F8E07D8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2" w15:restartNumberingAfterBreak="0">
    <w:nsid w:val="656348C8"/>
    <w:multiLevelType w:val="multilevel"/>
    <w:tmpl w:val="6F8E07D8"/>
    <w:lvl w:ilvl="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9B768C5"/>
    <w:multiLevelType w:val="hybridMultilevel"/>
    <w:tmpl w:val="4BC41E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B352E"/>
    <w:multiLevelType w:val="hybridMultilevel"/>
    <w:tmpl w:val="0260652A"/>
    <w:lvl w:ilvl="0" w:tplc="67CEA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82C0C"/>
    <w:multiLevelType w:val="hybridMultilevel"/>
    <w:tmpl w:val="FC1440D4"/>
    <w:lvl w:ilvl="0" w:tplc="996650F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114C8"/>
    <w:multiLevelType w:val="hybridMultilevel"/>
    <w:tmpl w:val="CAF6DBA2"/>
    <w:lvl w:ilvl="0" w:tplc="0407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7" w15:restartNumberingAfterBreak="0">
    <w:nsid w:val="73EE50D6"/>
    <w:multiLevelType w:val="hybridMultilevel"/>
    <w:tmpl w:val="50902B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665B1"/>
    <w:multiLevelType w:val="hybridMultilevel"/>
    <w:tmpl w:val="E6141EEC"/>
    <w:lvl w:ilvl="0" w:tplc="0407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49950AA"/>
    <w:multiLevelType w:val="hybridMultilevel"/>
    <w:tmpl w:val="C35297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B1F8D"/>
    <w:multiLevelType w:val="hybridMultilevel"/>
    <w:tmpl w:val="1CFE963C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29"/>
  </w:num>
  <w:num w:numId="5">
    <w:abstractNumId w:val="10"/>
  </w:num>
  <w:num w:numId="6">
    <w:abstractNumId w:val="23"/>
  </w:num>
  <w:num w:numId="7">
    <w:abstractNumId w:val="18"/>
  </w:num>
  <w:num w:numId="8">
    <w:abstractNumId w:val="28"/>
  </w:num>
  <w:num w:numId="9">
    <w:abstractNumId w:val="0"/>
  </w:num>
  <w:num w:numId="10">
    <w:abstractNumId w:val="38"/>
  </w:num>
  <w:num w:numId="11">
    <w:abstractNumId w:val="27"/>
  </w:num>
  <w:num w:numId="12">
    <w:abstractNumId w:val="36"/>
  </w:num>
  <w:num w:numId="13">
    <w:abstractNumId w:val="16"/>
  </w:num>
  <w:num w:numId="14">
    <w:abstractNumId w:val="22"/>
  </w:num>
  <w:num w:numId="15">
    <w:abstractNumId w:val="20"/>
  </w:num>
  <w:num w:numId="16">
    <w:abstractNumId w:val="30"/>
  </w:num>
  <w:num w:numId="17">
    <w:abstractNumId w:val="5"/>
  </w:num>
  <w:num w:numId="18">
    <w:abstractNumId w:val="9"/>
  </w:num>
  <w:num w:numId="19">
    <w:abstractNumId w:val="1"/>
  </w:num>
  <w:num w:numId="20">
    <w:abstractNumId w:val="14"/>
  </w:num>
  <w:num w:numId="21">
    <w:abstractNumId w:val="12"/>
  </w:num>
  <w:num w:numId="22">
    <w:abstractNumId w:val="31"/>
  </w:num>
  <w:num w:numId="23">
    <w:abstractNumId w:val="21"/>
  </w:num>
  <w:num w:numId="24">
    <w:abstractNumId w:val="15"/>
  </w:num>
  <w:num w:numId="25">
    <w:abstractNumId w:val="32"/>
  </w:num>
  <w:num w:numId="26">
    <w:abstractNumId w:val="26"/>
  </w:num>
  <w:num w:numId="27">
    <w:abstractNumId w:val="25"/>
  </w:num>
  <w:num w:numId="28">
    <w:abstractNumId w:val="13"/>
  </w:num>
  <w:num w:numId="29">
    <w:abstractNumId w:val="37"/>
  </w:num>
  <w:num w:numId="30">
    <w:abstractNumId w:val="19"/>
  </w:num>
  <w:num w:numId="31">
    <w:abstractNumId w:val="17"/>
  </w:num>
  <w:num w:numId="32">
    <w:abstractNumId w:val="8"/>
  </w:num>
  <w:num w:numId="33">
    <w:abstractNumId w:val="40"/>
  </w:num>
  <w:num w:numId="34">
    <w:abstractNumId w:val="4"/>
  </w:num>
  <w:num w:numId="35">
    <w:abstractNumId w:val="33"/>
  </w:num>
  <w:num w:numId="36">
    <w:abstractNumId w:val="7"/>
  </w:num>
  <w:num w:numId="37">
    <w:abstractNumId w:val="6"/>
  </w:num>
  <w:num w:numId="38">
    <w:abstractNumId w:val="39"/>
  </w:num>
  <w:num w:numId="39">
    <w:abstractNumId w:val="34"/>
  </w:num>
  <w:num w:numId="40">
    <w:abstractNumId w:val="11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B"/>
    <w:rsid w:val="0000480B"/>
    <w:rsid w:val="00006339"/>
    <w:rsid w:val="00007A73"/>
    <w:rsid w:val="00027B9A"/>
    <w:rsid w:val="000302C0"/>
    <w:rsid w:val="000325A1"/>
    <w:rsid w:val="0003369B"/>
    <w:rsid w:val="00033B75"/>
    <w:rsid w:val="00051473"/>
    <w:rsid w:val="00051602"/>
    <w:rsid w:val="00063E48"/>
    <w:rsid w:val="0006413A"/>
    <w:rsid w:val="00076497"/>
    <w:rsid w:val="00077470"/>
    <w:rsid w:val="00082F69"/>
    <w:rsid w:val="00083C71"/>
    <w:rsid w:val="00091627"/>
    <w:rsid w:val="00096BE9"/>
    <w:rsid w:val="000A2E14"/>
    <w:rsid w:val="000B0D87"/>
    <w:rsid w:val="000C3FDC"/>
    <w:rsid w:val="000C3FE3"/>
    <w:rsid w:val="000E6CAB"/>
    <w:rsid w:val="001149B8"/>
    <w:rsid w:val="00122583"/>
    <w:rsid w:val="00123601"/>
    <w:rsid w:val="001326E8"/>
    <w:rsid w:val="00136979"/>
    <w:rsid w:val="001409B4"/>
    <w:rsid w:val="00152E24"/>
    <w:rsid w:val="00156BFD"/>
    <w:rsid w:val="0015746C"/>
    <w:rsid w:val="00172234"/>
    <w:rsid w:val="00172767"/>
    <w:rsid w:val="00184B14"/>
    <w:rsid w:val="00195E75"/>
    <w:rsid w:val="001A5D48"/>
    <w:rsid w:val="001B46ED"/>
    <w:rsid w:val="001D0755"/>
    <w:rsid w:val="001E64E6"/>
    <w:rsid w:val="001F1AB6"/>
    <w:rsid w:val="001F341A"/>
    <w:rsid w:val="001F3FCA"/>
    <w:rsid w:val="00201EB3"/>
    <w:rsid w:val="00203E38"/>
    <w:rsid w:val="002043B9"/>
    <w:rsid w:val="002206D3"/>
    <w:rsid w:val="0022666E"/>
    <w:rsid w:val="00231ADE"/>
    <w:rsid w:val="00233A30"/>
    <w:rsid w:val="00250416"/>
    <w:rsid w:val="00264359"/>
    <w:rsid w:val="00296AEA"/>
    <w:rsid w:val="002B0103"/>
    <w:rsid w:val="002B1739"/>
    <w:rsid w:val="002C0E40"/>
    <w:rsid w:val="002C24E0"/>
    <w:rsid w:val="002F4698"/>
    <w:rsid w:val="003104F4"/>
    <w:rsid w:val="00311AA0"/>
    <w:rsid w:val="00355299"/>
    <w:rsid w:val="00363E9E"/>
    <w:rsid w:val="0038737A"/>
    <w:rsid w:val="003A1C83"/>
    <w:rsid w:val="003A78E3"/>
    <w:rsid w:val="003B34FC"/>
    <w:rsid w:val="003B43C1"/>
    <w:rsid w:val="003B4C44"/>
    <w:rsid w:val="003D6E43"/>
    <w:rsid w:val="003F0FC1"/>
    <w:rsid w:val="0044043D"/>
    <w:rsid w:val="0045322B"/>
    <w:rsid w:val="00455F75"/>
    <w:rsid w:val="00467297"/>
    <w:rsid w:val="00467DAC"/>
    <w:rsid w:val="00472BB5"/>
    <w:rsid w:val="00472C8A"/>
    <w:rsid w:val="004748EC"/>
    <w:rsid w:val="0049104B"/>
    <w:rsid w:val="004A4810"/>
    <w:rsid w:val="004A5EBE"/>
    <w:rsid w:val="004C1ED1"/>
    <w:rsid w:val="004D00ED"/>
    <w:rsid w:val="004D190A"/>
    <w:rsid w:val="004E6600"/>
    <w:rsid w:val="004F6800"/>
    <w:rsid w:val="00503AE1"/>
    <w:rsid w:val="00534B2F"/>
    <w:rsid w:val="005409EC"/>
    <w:rsid w:val="00543217"/>
    <w:rsid w:val="00547B16"/>
    <w:rsid w:val="00561217"/>
    <w:rsid w:val="00575103"/>
    <w:rsid w:val="00586F44"/>
    <w:rsid w:val="005909AC"/>
    <w:rsid w:val="00594904"/>
    <w:rsid w:val="0059524C"/>
    <w:rsid w:val="0059592C"/>
    <w:rsid w:val="005A0743"/>
    <w:rsid w:val="005A7995"/>
    <w:rsid w:val="005A7F83"/>
    <w:rsid w:val="005C17EF"/>
    <w:rsid w:val="005C4804"/>
    <w:rsid w:val="005E4DC9"/>
    <w:rsid w:val="005E5F6D"/>
    <w:rsid w:val="005F31AC"/>
    <w:rsid w:val="00603641"/>
    <w:rsid w:val="006054D8"/>
    <w:rsid w:val="00613F3C"/>
    <w:rsid w:val="006142F0"/>
    <w:rsid w:val="006160F3"/>
    <w:rsid w:val="00616566"/>
    <w:rsid w:val="00622EEA"/>
    <w:rsid w:val="006240E8"/>
    <w:rsid w:val="0063397B"/>
    <w:rsid w:val="00634D11"/>
    <w:rsid w:val="00650589"/>
    <w:rsid w:val="00655715"/>
    <w:rsid w:val="00672AC9"/>
    <w:rsid w:val="006937D9"/>
    <w:rsid w:val="006A2CE7"/>
    <w:rsid w:val="006C6BEC"/>
    <w:rsid w:val="006D11CB"/>
    <w:rsid w:val="006D2F8A"/>
    <w:rsid w:val="006E0857"/>
    <w:rsid w:val="006F5738"/>
    <w:rsid w:val="00702991"/>
    <w:rsid w:val="007063EF"/>
    <w:rsid w:val="00735F68"/>
    <w:rsid w:val="007507F2"/>
    <w:rsid w:val="0076249E"/>
    <w:rsid w:val="00763DAE"/>
    <w:rsid w:val="00772ABE"/>
    <w:rsid w:val="00774BDF"/>
    <w:rsid w:val="007769B0"/>
    <w:rsid w:val="00780EC5"/>
    <w:rsid w:val="007C5ED9"/>
    <w:rsid w:val="007D2752"/>
    <w:rsid w:val="007D36A9"/>
    <w:rsid w:val="007E45C4"/>
    <w:rsid w:val="007F1657"/>
    <w:rsid w:val="007F18B7"/>
    <w:rsid w:val="007F1EFF"/>
    <w:rsid w:val="007F6C58"/>
    <w:rsid w:val="00802ADC"/>
    <w:rsid w:val="00806B96"/>
    <w:rsid w:val="00807485"/>
    <w:rsid w:val="0081201C"/>
    <w:rsid w:val="008142F3"/>
    <w:rsid w:val="008464F0"/>
    <w:rsid w:val="00855DF3"/>
    <w:rsid w:val="008677E0"/>
    <w:rsid w:val="00877691"/>
    <w:rsid w:val="0087776D"/>
    <w:rsid w:val="00880C28"/>
    <w:rsid w:val="00884F78"/>
    <w:rsid w:val="008C044F"/>
    <w:rsid w:val="008E05DC"/>
    <w:rsid w:val="008E2B63"/>
    <w:rsid w:val="008E5123"/>
    <w:rsid w:val="008F1F96"/>
    <w:rsid w:val="0090324B"/>
    <w:rsid w:val="00904EBE"/>
    <w:rsid w:val="00905B61"/>
    <w:rsid w:val="00910FC4"/>
    <w:rsid w:val="009543FE"/>
    <w:rsid w:val="009571E6"/>
    <w:rsid w:val="00961261"/>
    <w:rsid w:val="00967A76"/>
    <w:rsid w:val="00970ADE"/>
    <w:rsid w:val="00971AA5"/>
    <w:rsid w:val="00987573"/>
    <w:rsid w:val="0099099F"/>
    <w:rsid w:val="00990EC0"/>
    <w:rsid w:val="00992474"/>
    <w:rsid w:val="009A6AA2"/>
    <w:rsid w:val="009F3D82"/>
    <w:rsid w:val="00A23B72"/>
    <w:rsid w:val="00A26B85"/>
    <w:rsid w:val="00A43856"/>
    <w:rsid w:val="00A54EB6"/>
    <w:rsid w:val="00A56B54"/>
    <w:rsid w:val="00A606D2"/>
    <w:rsid w:val="00A6426C"/>
    <w:rsid w:val="00A85AFA"/>
    <w:rsid w:val="00AA393E"/>
    <w:rsid w:val="00AB10F7"/>
    <w:rsid w:val="00AB1BEA"/>
    <w:rsid w:val="00AB298F"/>
    <w:rsid w:val="00AD2190"/>
    <w:rsid w:val="00AD4EAA"/>
    <w:rsid w:val="00AD52D0"/>
    <w:rsid w:val="00AE7795"/>
    <w:rsid w:val="00AF29FA"/>
    <w:rsid w:val="00B066EA"/>
    <w:rsid w:val="00B12488"/>
    <w:rsid w:val="00B22830"/>
    <w:rsid w:val="00B35789"/>
    <w:rsid w:val="00B45E29"/>
    <w:rsid w:val="00B47F3A"/>
    <w:rsid w:val="00B74EB2"/>
    <w:rsid w:val="00B77A97"/>
    <w:rsid w:val="00B975FA"/>
    <w:rsid w:val="00BA56CA"/>
    <w:rsid w:val="00BB0274"/>
    <w:rsid w:val="00BB1B45"/>
    <w:rsid w:val="00BC2ACE"/>
    <w:rsid w:val="00BE0C24"/>
    <w:rsid w:val="00BF7F46"/>
    <w:rsid w:val="00C24767"/>
    <w:rsid w:val="00C248FD"/>
    <w:rsid w:val="00C34725"/>
    <w:rsid w:val="00C34D4B"/>
    <w:rsid w:val="00C72098"/>
    <w:rsid w:val="00C76F27"/>
    <w:rsid w:val="00CA47F4"/>
    <w:rsid w:val="00CC4AC7"/>
    <w:rsid w:val="00CD36A4"/>
    <w:rsid w:val="00CD4678"/>
    <w:rsid w:val="00CF0A19"/>
    <w:rsid w:val="00CF1F4E"/>
    <w:rsid w:val="00D04646"/>
    <w:rsid w:val="00D20BE0"/>
    <w:rsid w:val="00D248D7"/>
    <w:rsid w:val="00D30FA4"/>
    <w:rsid w:val="00D41C2B"/>
    <w:rsid w:val="00D52717"/>
    <w:rsid w:val="00D55926"/>
    <w:rsid w:val="00D607AA"/>
    <w:rsid w:val="00D61929"/>
    <w:rsid w:val="00D66DB1"/>
    <w:rsid w:val="00D744B1"/>
    <w:rsid w:val="00D76639"/>
    <w:rsid w:val="00D86922"/>
    <w:rsid w:val="00D87F34"/>
    <w:rsid w:val="00D925D9"/>
    <w:rsid w:val="00DA0ABE"/>
    <w:rsid w:val="00DA1AFD"/>
    <w:rsid w:val="00DA2BE4"/>
    <w:rsid w:val="00DA7676"/>
    <w:rsid w:val="00DD277F"/>
    <w:rsid w:val="00DF0AF2"/>
    <w:rsid w:val="00DF204D"/>
    <w:rsid w:val="00E104F8"/>
    <w:rsid w:val="00E33CC3"/>
    <w:rsid w:val="00E35047"/>
    <w:rsid w:val="00E36927"/>
    <w:rsid w:val="00E37880"/>
    <w:rsid w:val="00E4139F"/>
    <w:rsid w:val="00E60E96"/>
    <w:rsid w:val="00E63A21"/>
    <w:rsid w:val="00E8157D"/>
    <w:rsid w:val="00E92272"/>
    <w:rsid w:val="00EA00B8"/>
    <w:rsid w:val="00EB4596"/>
    <w:rsid w:val="00ED4393"/>
    <w:rsid w:val="00EF6052"/>
    <w:rsid w:val="00F05B00"/>
    <w:rsid w:val="00F35A65"/>
    <w:rsid w:val="00F440CB"/>
    <w:rsid w:val="00F61FED"/>
    <w:rsid w:val="00F755CD"/>
    <w:rsid w:val="00F83097"/>
    <w:rsid w:val="00F83D1F"/>
    <w:rsid w:val="00F9031D"/>
    <w:rsid w:val="00F9513D"/>
    <w:rsid w:val="00FA035A"/>
    <w:rsid w:val="00FA3E6F"/>
    <w:rsid w:val="00FA4F3F"/>
    <w:rsid w:val="00FB348D"/>
    <w:rsid w:val="00FB5946"/>
    <w:rsid w:val="00FC10F3"/>
    <w:rsid w:val="00FC6454"/>
    <w:rsid w:val="00FE2A94"/>
    <w:rsid w:val="00FF1E0B"/>
    <w:rsid w:val="00FF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12EB978-298E-4BF8-8F8F-7114095D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rsid w:val="00B12488"/>
    <w:pPr>
      <w:keepNext/>
      <w:numPr>
        <w:numId w:val="17"/>
      </w:numPr>
      <w:outlineLvl w:val="0"/>
    </w:pPr>
    <w:rPr>
      <w:b/>
      <w:bCs/>
      <w:szCs w:val="20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6"/>
      </w:numPr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autoSpaceDE w:val="0"/>
      <w:autoSpaceDN w:val="0"/>
      <w:adjustRightInd w:val="0"/>
      <w:spacing w:line="240" w:lineRule="atLeast"/>
      <w:outlineLvl w:val="2"/>
    </w:pPr>
    <w:rPr>
      <w:b/>
      <w:bCs/>
      <w:color w:val="000000"/>
      <w:szCs w:val="2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6"/>
      </w:numPr>
      <w:autoSpaceDE w:val="0"/>
      <w:autoSpaceDN w:val="0"/>
      <w:adjustRightInd w:val="0"/>
      <w:jc w:val="both"/>
      <w:outlineLvl w:val="3"/>
    </w:pPr>
    <w:rPr>
      <w:b/>
      <w:bCs/>
      <w:color w:val="000000"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12488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12488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12488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12488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12488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</w:style>
  <w:style w:type="paragraph" w:styleId="Textkrper2">
    <w:name w:val="Body Text 2"/>
    <w:basedOn w:val="Standard"/>
    <w:semiHidden/>
    <w:pPr>
      <w:jc w:val="both"/>
    </w:pPr>
  </w:style>
  <w:style w:type="paragraph" w:styleId="Textkrper-Zeileneinzug">
    <w:name w:val="Body Text Indent"/>
    <w:basedOn w:val="Standard"/>
    <w:semiHidden/>
    <w:pPr>
      <w:ind w:left="705" w:hanging="705"/>
      <w:jc w:val="both"/>
    </w:pPr>
  </w:style>
  <w:style w:type="paragraph" w:styleId="Textkrper3">
    <w:name w:val="Body Text 3"/>
    <w:basedOn w:val="Standard"/>
    <w:semiHidden/>
    <w:pPr>
      <w:jc w:val="both"/>
    </w:pPr>
    <w:rPr>
      <w:color w:val="000000"/>
      <w:szCs w:val="20"/>
    </w:r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rPr>
      <w:rFonts w:ascii="Akzidenz-Grotesk BQ" w:hAnsi="Akzidenz-Grotesk BQ"/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-Einzug2">
    <w:name w:val="Body Text Indent 2"/>
    <w:basedOn w:val="Standard"/>
    <w:semiHidden/>
    <w:pPr>
      <w:ind w:left="340"/>
      <w:jc w:val="both"/>
    </w:pPr>
    <w:rPr>
      <w:szCs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12488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1248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1248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1248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124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440C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440C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0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0C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0C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0C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0C28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0C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0C28"/>
    <w:rPr>
      <w:rFonts w:ascii="Arial" w:hAnsi="Arial" w:cs="Arial"/>
      <w:b/>
      <w:bCs/>
    </w:rPr>
  </w:style>
  <w:style w:type="character" w:styleId="Fett">
    <w:name w:val="Strong"/>
    <w:basedOn w:val="Absatz-Standardschriftart"/>
    <w:uiPriority w:val="22"/>
    <w:qFormat/>
    <w:rsid w:val="00967A76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66EA"/>
    <w:rPr>
      <w:rFonts w:ascii="Akzidenz-Grotesk BQ" w:hAnsi="Akzidenz-Grotesk BQ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wmf.org/leitlinien/detail/ll/094-001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4374D7-1B96-421F-A86A-47A52C9E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C6CD4A6E.dotm</Template>
  <TotalTime>0</TotalTime>
  <Pages>3</Pages>
  <Words>725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Ort:</vt:lpstr>
    </vt:vector>
  </TitlesOfParts>
  <Company>IHK Berlin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Ort:</dc:title>
  <dc:creator>Bettina Schoenau</dc:creator>
  <cp:lastModifiedBy>Walter, Frank</cp:lastModifiedBy>
  <cp:revision>3</cp:revision>
  <cp:lastPrinted>2021-08-02T13:19:00Z</cp:lastPrinted>
  <dcterms:created xsi:type="dcterms:W3CDTF">2021-08-02T13:19:00Z</dcterms:created>
  <dcterms:modified xsi:type="dcterms:W3CDTF">2021-08-02T13:48:00Z</dcterms:modified>
</cp:coreProperties>
</file>